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908B" w14:textId="037E0283" w:rsidR="00C318CF" w:rsidRPr="00E730FB" w:rsidRDefault="00E730F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FAEB2B2" wp14:editId="1FE1C6A2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76985" cy="1285875"/>
            <wp:effectExtent l="0" t="0" r="0" b="9525"/>
            <wp:wrapTight wrapText="bothSides">
              <wp:wrapPolygon edited="0">
                <wp:start x="0" y="0"/>
                <wp:lineTo x="0" y="21333"/>
                <wp:lineTo x="21052" y="21333"/>
                <wp:lineTo x="210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hea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04" w:rsidRPr="00E730FB">
        <w:rPr>
          <w:rFonts w:asciiTheme="majorHAnsi" w:hAnsiTheme="majorHAnsi"/>
          <w:b/>
          <w:sz w:val="28"/>
        </w:rPr>
        <w:t>A</w:t>
      </w:r>
      <w:r w:rsidR="00E86A06" w:rsidRPr="00E730FB">
        <w:rPr>
          <w:rFonts w:asciiTheme="majorHAnsi" w:hAnsiTheme="majorHAnsi"/>
          <w:b/>
          <w:sz w:val="28"/>
        </w:rPr>
        <w:t xml:space="preserve">ssessment task </w:t>
      </w:r>
      <w:r w:rsidR="001A6104" w:rsidRPr="00E730FB">
        <w:rPr>
          <w:rFonts w:asciiTheme="majorHAnsi" w:hAnsiTheme="majorHAnsi"/>
          <w:b/>
          <w:sz w:val="28"/>
        </w:rPr>
        <w:t xml:space="preserve">guidance – combining 1.4 and 1.5 </w:t>
      </w:r>
    </w:p>
    <w:p w14:paraId="512D011B" w14:textId="77777777" w:rsidR="00E86A06" w:rsidRPr="00E730FB" w:rsidRDefault="00E86A06">
      <w:pPr>
        <w:rPr>
          <w:rFonts w:asciiTheme="majorHAnsi" w:hAnsiTheme="majorHAnsi"/>
        </w:rPr>
      </w:pPr>
    </w:p>
    <w:p w14:paraId="46905621" w14:textId="77777777" w:rsidR="00E86A06" w:rsidRPr="00E730FB" w:rsidRDefault="00E86A06" w:rsidP="001A6104">
      <w:pPr>
        <w:ind w:left="-284"/>
        <w:rPr>
          <w:rFonts w:asciiTheme="majorHAnsi" w:hAnsiTheme="majorHAnsi"/>
        </w:rPr>
      </w:pPr>
    </w:p>
    <w:p w14:paraId="2A450A5A" w14:textId="77777777" w:rsidR="00E86A06" w:rsidRPr="00E730FB" w:rsidRDefault="00E86A06">
      <w:pPr>
        <w:rPr>
          <w:rFonts w:asciiTheme="majorHAnsi" w:hAnsiTheme="majorHAnsi"/>
        </w:rPr>
      </w:pPr>
      <w:proofErr w:type="gramStart"/>
      <w:r w:rsidRPr="00E730FB">
        <w:rPr>
          <w:rFonts w:asciiTheme="majorHAnsi" w:hAnsiTheme="majorHAnsi"/>
        </w:rPr>
        <w:t>Scenarios to draw out students’ understanding</w:t>
      </w:r>
      <w:r w:rsidR="00D465A6" w:rsidRPr="00E730FB">
        <w:rPr>
          <w:rFonts w:asciiTheme="majorHAnsi" w:hAnsiTheme="majorHAnsi"/>
        </w:rPr>
        <w:t>.</w:t>
      </w:r>
      <w:proofErr w:type="gramEnd"/>
      <w:r w:rsidR="00D465A6" w:rsidRPr="00E730FB">
        <w:rPr>
          <w:rFonts w:asciiTheme="majorHAnsi" w:hAnsiTheme="majorHAnsi"/>
        </w:rPr>
        <w:t xml:space="preserve"> </w:t>
      </w:r>
      <w:r w:rsidRPr="00E730FB">
        <w:rPr>
          <w:rFonts w:asciiTheme="majorHAnsi" w:hAnsiTheme="majorHAnsi"/>
        </w:rPr>
        <w:t xml:space="preserve">Get students to write or co-construct these? </w:t>
      </w:r>
      <w:r w:rsidR="001A6104" w:rsidRPr="00E730FB">
        <w:rPr>
          <w:rFonts w:asciiTheme="majorHAnsi" w:hAnsiTheme="majorHAnsi"/>
        </w:rPr>
        <w:t xml:space="preserve">I don’t recommend trying to combine more than two standards – too complicated? Narrows the learning? 1.4 and 1.5 have the most overlap. </w:t>
      </w:r>
    </w:p>
    <w:p w14:paraId="35AAFAC8" w14:textId="77777777" w:rsidR="00E86A06" w:rsidRPr="00E730FB" w:rsidRDefault="00E86A06">
      <w:pPr>
        <w:rPr>
          <w:rFonts w:asciiTheme="majorHAnsi" w:hAnsiTheme="majorHAnsi"/>
        </w:rPr>
      </w:pPr>
    </w:p>
    <w:p w14:paraId="7B63AD8F" w14:textId="77777777" w:rsidR="00E86A06" w:rsidRPr="00E730FB" w:rsidRDefault="00E86A06">
      <w:pPr>
        <w:rPr>
          <w:rFonts w:asciiTheme="majorHAnsi" w:hAnsiTheme="majorHAnsi"/>
        </w:rPr>
      </w:pPr>
      <w:r w:rsidRPr="00E730FB">
        <w:rPr>
          <w:rFonts w:asciiTheme="majorHAnsi" w:hAnsiTheme="majorHAnsi"/>
        </w:rPr>
        <w:t xml:space="preserve">The outcome (of using strategies) for 1.4 is </w:t>
      </w:r>
      <w:r w:rsidRPr="00E730FB">
        <w:rPr>
          <w:rFonts w:asciiTheme="majorHAnsi" w:hAnsiTheme="majorHAnsi"/>
          <w:b/>
        </w:rPr>
        <w:t>enhanced relationships</w:t>
      </w:r>
      <w:r w:rsidRPr="00E730FB">
        <w:rPr>
          <w:rFonts w:asciiTheme="majorHAnsi" w:hAnsiTheme="majorHAnsi"/>
        </w:rPr>
        <w:t xml:space="preserve"> – now (specifically related to the scenario) and in the future (including possible future relationships with other people). </w:t>
      </w:r>
    </w:p>
    <w:p w14:paraId="3A063E29" w14:textId="77777777" w:rsidR="00E86A06" w:rsidRPr="00E730FB" w:rsidRDefault="00E86A06">
      <w:pPr>
        <w:rPr>
          <w:rFonts w:asciiTheme="majorHAnsi" w:hAnsiTheme="majorHAnsi"/>
        </w:rPr>
      </w:pPr>
    </w:p>
    <w:p w14:paraId="1C8B8470" w14:textId="77777777" w:rsidR="00E86A06" w:rsidRPr="00E730FB" w:rsidRDefault="00E86A06">
      <w:pPr>
        <w:rPr>
          <w:rFonts w:asciiTheme="majorHAnsi" w:hAnsiTheme="majorHAnsi"/>
        </w:rPr>
      </w:pPr>
      <w:r w:rsidRPr="00E730FB">
        <w:rPr>
          <w:rFonts w:asciiTheme="majorHAnsi" w:hAnsiTheme="majorHAnsi"/>
        </w:rPr>
        <w:t xml:space="preserve">The outcome (of using strategies) for 1.5 is </w:t>
      </w:r>
      <w:r w:rsidRPr="00E730FB">
        <w:rPr>
          <w:rFonts w:asciiTheme="majorHAnsi" w:hAnsiTheme="majorHAnsi"/>
          <w:b/>
        </w:rPr>
        <w:t xml:space="preserve">positive sexuality </w:t>
      </w:r>
      <w:r w:rsidRPr="00E730FB">
        <w:rPr>
          <w:rFonts w:asciiTheme="majorHAnsi" w:hAnsiTheme="majorHAnsi"/>
        </w:rPr>
        <w:t xml:space="preserve">(again, now and possibly also in the future?). </w:t>
      </w:r>
    </w:p>
    <w:p w14:paraId="2F64727D" w14:textId="77777777" w:rsidR="00E86A06" w:rsidRPr="00E730FB" w:rsidRDefault="00E86A06">
      <w:pPr>
        <w:rPr>
          <w:rFonts w:asciiTheme="majorHAnsi" w:hAnsiTheme="majorHAnsi"/>
        </w:rPr>
      </w:pPr>
    </w:p>
    <w:p w14:paraId="3B88E8EC" w14:textId="77777777" w:rsidR="00E86A06" w:rsidRPr="00E730FB" w:rsidRDefault="00E86A06">
      <w:pPr>
        <w:rPr>
          <w:rFonts w:asciiTheme="majorHAnsi" w:hAnsiTheme="majorHAnsi"/>
        </w:rPr>
      </w:pPr>
      <w:r w:rsidRPr="00E730FB">
        <w:rPr>
          <w:rFonts w:asciiTheme="majorHAnsi" w:hAnsiTheme="majorHAnsi"/>
        </w:rPr>
        <w:t xml:space="preserve">Note that neither of these standards focus on outcomes for well-being, although IP skills relates obviously to </w:t>
      </w:r>
      <w:r w:rsidRPr="00E730FB">
        <w:rPr>
          <w:rFonts w:asciiTheme="majorHAnsi" w:hAnsiTheme="majorHAnsi"/>
          <w:b/>
        </w:rPr>
        <w:t>social well-being</w:t>
      </w:r>
      <w:r w:rsidRPr="00E730FB">
        <w:rPr>
          <w:rFonts w:asciiTheme="majorHAnsi" w:hAnsiTheme="majorHAnsi"/>
        </w:rPr>
        <w:t xml:space="preserve">, and positive sexuality is </w:t>
      </w:r>
      <w:r w:rsidRPr="00E730FB">
        <w:rPr>
          <w:rFonts w:asciiTheme="majorHAnsi" w:hAnsiTheme="majorHAnsi"/>
          <w:b/>
        </w:rPr>
        <w:t>inclusive of all aspects of well-being</w:t>
      </w:r>
      <w:r w:rsidRPr="00E730FB">
        <w:rPr>
          <w:rFonts w:asciiTheme="majorHAnsi" w:hAnsiTheme="majorHAnsi"/>
        </w:rPr>
        <w:t xml:space="preserve">. I suggest these are asked as separate Qs, in case one </w:t>
      </w:r>
      <w:r w:rsidR="00D465A6" w:rsidRPr="00E730FB">
        <w:rPr>
          <w:rFonts w:asciiTheme="majorHAnsi" w:hAnsiTheme="majorHAnsi"/>
        </w:rPr>
        <w:t xml:space="preserve">is understood better than the other (and therefore one AS might be at A level and the other at M). </w:t>
      </w:r>
    </w:p>
    <w:p w14:paraId="0E5C7277" w14:textId="77777777" w:rsidR="00E86A06" w:rsidRPr="00E730FB" w:rsidRDefault="00E86A06">
      <w:pPr>
        <w:rPr>
          <w:rFonts w:asciiTheme="majorHAnsi" w:hAnsiTheme="majorHAnsi"/>
        </w:rPr>
      </w:pPr>
    </w:p>
    <w:p w14:paraId="0B9FF2B6" w14:textId="77777777" w:rsidR="00E86A06" w:rsidRPr="00E730FB" w:rsidRDefault="00E86A06">
      <w:pPr>
        <w:rPr>
          <w:rFonts w:asciiTheme="majorHAnsi" w:hAnsiTheme="majorHAnsi"/>
        </w:rPr>
      </w:pPr>
      <w:r w:rsidRPr="00E730FB">
        <w:rPr>
          <w:rFonts w:asciiTheme="majorHAnsi" w:hAnsiTheme="majorHAnsi"/>
        </w:rPr>
        <w:t xml:space="preserve">So, how do we ask a question that covers the different foci of the two standards, and (probably the more difficult part) ensure we are looking for and making </w:t>
      </w:r>
      <w:proofErr w:type="spellStart"/>
      <w:r w:rsidRPr="00E730FB">
        <w:rPr>
          <w:rFonts w:asciiTheme="majorHAnsi" w:hAnsiTheme="majorHAnsi"/>
        </w:rPr>
        <w:t>judgements</w:t>
      </w:r>
      <w:proofErr w:type="spellEnd"/>
      <w:r w:rsidRPr="00E730FB">
        <w:rPr>
          <w:rFonts w:asciiTheme="majorHAnsi" w:hAnsiTheme="majorHAnsi"/>
        </w:rPr>
        <w:t xml:space="preserve"> on two standards accurately, at the same time? Tip: Make a chart/diagram that ‘maps out’ which tasks/questions/parts of the question contributes to 1.4, 1.5 or both</w:t>
      </w:r>
      <w:r w:rsidR="001A6104" w:rsidRPr="00E730FB">
        <w:rPr>
          <w:rFonts w:asciiTheme="majorHAnsi" w:hAnsiTheme="majorHAnsi"/>
        </w:rPr>
        <w:t xml:space="preserve">. </w:t>
      </w:r>
    </w:p>
    <w:p w14:paraId="122EDB6E" w14:textId="77777777" w:rsidR="00E86A06" w:rsidRPr="00E730FB" w:rsidRDefault="00E86A06">
      <w:pPr>
        <w:rPr>
          <w:rFonts w:asciiTheme="majorHAnsi" w:hAnsiTheme="majorHAnsi"/>
        </w:rPr>
      </w:pPr>
    </w:p>
    <w:p w14:paraId="2AA4BDFD" w14:textId="77777777" w:rsidR="00E86A06" w:rsidRPr="00E730FB" w:rsidRDefault="00E86A06">
      <w:pPr>
        <w:rPr>
          <w:rFonts w:asciiTheme="majorHAnsi" w:hAnsiTheme="majorHAnsi"/>
        </w:rPr>
      </w:pPr>
      <w:r w:rsidRPr="00E730FB">
        <w:rPr>
          <w:rFonts w:asciiTheme="majorHAnsi" w:hAnsiTheme="majorHAnsi"/>
        </w:rPr>
        <w:t>Scenario</w:t>
      </w:r>
      <w:r w:rsidR="00D465A6" w:rsidRPr="00E730FB">
        <w:rPr>
          <w:rFonts w:asciiTheme="majorHAnsi" w:hAnsiTheme="majorHAnsi"/>
        </w:rPr>
        <w:t xml:space="preserve"> example</w:t>
      </w:r>
      <w:r w:rsidRPr="00E730FB">
        <w:rPr>
          <w:rFonts w:asciiTheme="majorHAnsi" w:hAnsiTheme="majorHAnsi"/>
        </w:rPr>
        <w:t xml:space="preserve">: </w:t>
      </w:r>
    </w:p>
    <w:p w14:paraId="0D196124" w14:textId="77777777" w:rsidR="00E86A06" w:rsidRPr="00E730FB" w:rsidRDefault="00E86A06">
      <w:pPr>
        <w:rPr>
          <w:rFonts w:asciiTheme="majorHAnsi" w:hAnsiTheme="majorHAnsi"/>
        </w:rPr>
      </w:pPr>
      <w:r w:rsidRPr="00E730FB">
        <w:rPr>
          <w:rFonts w:asciiTheme="majorHAnsi" w:hAnsiTheme="majorHAnsi"/>
        </w:rPr>
        <w:t xml:space="preserve">Jodi and Sam are 17 years old and have been going out for five months. Sam feels ready to begin a sexual relationship but isn’t sure how Jodi feels. Sam knows that Jodi was badly hurt by a past relationship that moved too quickly. </w:t>
      </w:r>
    </w:p>
    <w:p w14:paraId="21B04778" w14:textId="77777777" w:rsidR="00E86A06" w:rsidRPr="00E730FB" w:rsidRDefault="00E86A06">
      <w:pPr>
        <w:rPr>
          <w:rFonts w:asciiTheme="majorHAnsi" w:hAnsiTheme="majorHAnsi"/>
        </w:rPr>
      </w:pPr>
    </w:p>
    <w:p w14:paraId="02B29293" w14:textId="77777777" w:rsidR="001A6104" w:rsidRPr="00E730FB" w:rsidRDefault="001A6104">
      <w:pPr>
        <w:rPr>
          <w:rFonts w:asciiTheme="majorHAnsi" w:hAnsiTheme="majorHAnsi"/>
        </w:rPr>
      </w:pPr>
    </w:p>
    <w:tbl>
      <w:tblPr>
        <w:tblStyle w:val="TableGrid"/>
        <w:tblW w:w="10491" w:type="dxa"/>
        <w:tblInd w:w="-324" w:type="dxa"/>
        <w:tblLook w:val="04A0" w:firstRow="1" w:lastRow="0" w:firstColumn="1" w:lastColumn="0" w:noHBand="0" w:noVBand="1"/>
      </w:tblPr>
      <w:tblGrid>
        <w:gridCol w:w="3828"/>
        <w:gridCol w:w="2974"/>
        <w:gridCol w:w="3689"/>
      </w:tblGrid>
      <w:tr w:rsidR="00E86A06" w:rsidRPr="00E730FB" w14:paraId="3188AE20" w14:textId="77777777" w:rsidTr="001A6104">
        <w:tc>
          <w:tcPr>
            <w:tcW w:w="3828" w:type="dxa"/>
          </w:tcPr>
          <w:p w14:paraId="17ADCBED" w14:textId="77777777" w:rsidR="00E86A06" w:rsidRPr="00E730FB" w:rsidRDefault="00E86A06">
            <w:pPr>
              <w:rPr>
                <w:rFonts w:asciiTheme="majorHAnsi" w:hAnsiTheme="majorHAnsi"/>
                <w:b/>
              </w:rPr>
            </w:pPr>
            <w:r w:rsidRPr="00E730FB">
              <w:rPr>
                <w:rFonts w:asciiTheme="majorHAnsi" w:hAnsiTheme="majorHAnsi"/>
                <w:b/>
              </w:rPr>
              <w:t>Personal or interpersonal skill</w:t>
            </w:r>
          </w:p>
          <w:p w14:paraId="0174F143" w14:textId="77777777" w:rsidR="00E86A06" w:rsidRPr="00E730FB" w:rsidRDefault="00E86A0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4" w:type="dxa"/>
          </w:tcPr>
          <w:p w14:paraId="7E583741" w14:textId="77777777" w:rsidR="00E86A06" w:rsidRPr="00E730FB" w:rsidRDefault="00E86A06">
            <w:pPr>
              <w:rPr>
                <w:rFonts w:asciiTheme="majorHAnsi" w:hAnsiTheme="majorHAnsi"/>
                <w:b/>
              </w:rPr>
            </w:pPr>
            <w:r w:rsidRPr="00E730FB">
              <w:rPr>
                <w:rFonts w:asciiTheme="majorHAnsi" w:hAnsiTheme="majorHAnsi"/>
                <w:b/>
              </w:rPr>
              <w:t xml:space="preserve">Could contribute evidence for </w:t>
            </w:r>
          </w:p>
        </w:tc>
        <w:tc>
          <w:tcPr>
            <w:tcW w:w="3689" w:type="dxa"/>
          </w:tcPr>
          <w:p w14:paraId="194CC75B" w14:textId="77777777" w:rsidR="00E86A06" w:rsidRPr="00E730FB" w:rsidRDefault="00E86A06">
            <w:pPr>
              <w:rPr>
                <w:rFonts w:asciiTheme="majorHAnsi" w:hAnsiTheme="majorHAnsi"/>
                <w:b/>
              </w:rPr>
            </w:pPr>
            <w:r w:rsidRPr="00E730FB">
              <w:rPr>
                <w:rFonts w:asciiTheme="majorHAnsi" w:hAnsiTheme="majorHAnsi"/>
                <w:b/>
              </w:rPr>
              <w:t xml:space="preserve">Outcome (of using the strategy) </w:t>
            </w:r>
          </w:p>
        </w:tc>
      </w:tr>
      <w:tr w:rsidR="00E86A06" w:rsidRPr="00E730FB" w14:paraId="19DBC19F" w14:textId="77777777" w:rsidTr="001A6104">
        <w:tc>
          <w:tcPr>
            <w:tcW w:w="3828" w:type="dxa"/>
          </w:tcPr>
          <w:p w14:paraId="638CC0B6" w14:textId="77777777" w:rsidR="00E86A06" w:rsidRPr="00E730FB" w:rsidRDefault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Assertiveness – How can Sam use the skill of assertiveness? </w:t>
            </w:r>
          </w:p>
        </w:tc>
        <w:tc>
          <w:tcPr>
            <w:tcW w:w="2974" w:type="dxa"/>
          </w:tcPr>
          <w:p w14:paraId="29CA0413" w14:textId="77777777" w:rsidR="00E86A06" w:rsidRPr="00E730FB" w:rsidRDefault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(effective communication) </w:t>
            </w:r>
          </w:p>
          <w:p w14:paraId="460B0D57" w14:textId="77777777" w:rsidR="00D465A6" w:rsidRPr="00E730FB" w:rsidRDefault="001A6104" w:rsidP="001A6104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>1.4 (assertiveness skills- and practical demo)</w:t>
            </w:r>
          </w:p>
        </w:tc>
        <w:tc>
          <w:tcPr>
            <w:tcW w:w="3689" w:type="dxa"/>
          </w:tcPr>
          <w:p w14:paraId="310BA48A" w14:textId="77777777" w:rsidR="00E86A06" w:rsidRPr="00E730FB" w:rsidRDefault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– positive sexuality </w:t>
            </w:r>
          </w:p>
          <w:p w14:paraId="26B4051F" w14:textId="77777777" w:rsidR="00E86A06" w:rsidRPr="00E730FB" w:rsidRDefault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1.4 – enhanced </w:t>
            </w:r>
            <w:proofErr w:type="spellStart"/>
            <w:r w:rsidRPr="00E730FB">
              <w:rPr>
                <w:rFonts w:asciiTheme="majorHAnsi" w:hAnsiTheme="majorHAnsi"/>
              </w:rPr>
              <w:t>r’ship</w:t>
            </w:r>
            <w:proofErr w:type="spellEnd"/>
            <w:r w:rsidR="001A6104" w:rsidRPr="00E730FB">
              <w:rPr>
                <w:rFonts w:asciiTheme="majorHAnsi" w:hAnsiTheme="majorHAnsi"/>
              </w:rPr>
              <w:t>/ highly effective and coherent demo</w:t>
            </w:r>
            <w:r w:rsidRPr="00E730FB">
              <w:rPr>
                <w:rFonts w:asciiTheme="majorHAnsi" w:hAnsiTheme="majorHAnsi"/>
              </w:rPr>
              <w:t xml:space="preserve"> </w:t>
            </w:r>
          </w:p>
          <w:p w14:paraId="63353892" w14:textId="77777777" w:rsidR="001A6104" w:rsidRPr="00E730FB" w:rsidRDefault="001A6104">
            <w:pPr>
              <w:rPr>
                <w:rFonts w:asciiTheme="majorHAnsi" w:hAnsiTheme="majorHAnsi"/>
              </w:rPr>
            </w:pPr>
          </w:p>
          <w:p w14:paraId="0BC82FBB" w14:textId="77777777" w:rsidR="00E86A06" w:rsidRPr="00E730FB" w:rsidRDefault="00E86A06">
            <w:pPr>
              <w:rPr>
                <w:rFonts w:asciiTheme="majorHAnsi" w:hAnsiTheme="majorHAnsi"/>
              </w:rPr>
            </w:pPr>
          </w:p>
        </w:tc>
      </w:tr>
      <w:tr w:rsidR="00E86A06" w:rsidRPr="00E730FB" w14:paraId="19BB1418" w14:textId="77777777" w:rsidTr="001A6104">
        <w:tc>
          <w:tcPr>
            <w:tcW w:w="3828" w:type="dxa"/>
          </w:tcPr>
          <w:p w14:paraId="1E9FBC71" w14:textId="77777777" w:rsidR="00E86A06" w:rsidRPr="00E730FB" w:rsidRDefault="00E86A06" w:rsidP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Rights and responsibilities: Describe one right and one responsibility for each person </w:t>
            </w:r>
          </w:p>
        </w:tc>
        <w:tc>
          <w:tcPr>
            <w:tcW w:w="2974" w:type="dxa"/>
          </w:tcPr>
          <w:p w14:paraId="710D000F" w14:textId="77777777" w:rsidR="00E86A06" w:rsidRPr="00E730FB" w:rsidRDefault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>1.5 (rights/</w:t>
            </w:r>
            <w:proofErr w:type="spellStart"/>
            <w:r w:rsidRPr="00E730FB">
              <w:rPr>
                <w:rFonts w:asciiTheme="majorHAnsi" w:hAnsiTheme="majorHAnsi"/>
              </w:rPr>
              <w:t>resp</w:t>
            </w:r>
            <w:proofErr w:type="spellEnd"/>
            <w:r w:rsidRPr="00E730FB">
              <w:rPr>
                <w:rFonts w:asciiTheme="majorHAnsi" w:hAnsiTheme="majorHAnsi"/>
              </w:rPr>
              <w:t xml:space="preserve">) </w:t>
            </w:r>
          </w:p>
          <w:p w14:paraId="1AC82475" w14:textId="77777777" w:rsidR="00E86A06" w:rsidRPr="00E730FB" w:rsidRDefault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1.4 (skills for maintaining, managing changes to, enhancing </w:t>
            </w:r>
            <w:proofErr w:type="spellStart"/>
            <w:r w:rsidRPr="00E730FB">
              <w:rPr>
                <w:rFonts w:asciiTheme="majorHAnsi" w:hAnsiTheme="majorHAnsi"/>
              </w:rPr>
              <w:t>r’ships</w:t>
            </w:r>
            <w:proofErr w:type="spellEnd"/>
            <w:r w:rsidRPr="00E730FB">
              <w:rPr>
                <w:rFonts w:asciiTheme="majorHAnsi" w:hAnsiTheme="majorHAnsi"/>
              </w:rPr>
              <w:t>)</w:t>
            </w:r>
          </w:p>
        </w:tc>
        <w:tc>
          <w:tcPr>
            <w:tcW w:w="3689" w:type="dxa"/>
          </w:tcPr>
          <w:p w14:paraId="0B2B4A4A" w14:textId="77777777" w:rsidR="00D465A6" w:rsidRPr="00E730FB" w:rsidRDefault="00D465A6" w:rsidP="00D465A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– positive sexuality </w:t>
            </w:r>
          </w:p>
          <w:p w14:paraId="16CDABB0" w14:textId="77777777" w:rsidR="00D465A6" w:rsidRPr="00E730FB" w:rsidRDefault="00D465A6" w:rsidP="00D465A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1.4 – enhanced </w:t>
            </w:r>
            <w:proofErr w:type="spellStart"/>
            <w:r w:rsidRPr="00E730FB">
              <w:rPr>
                <w:rFonts w:asciiTheme="majorHAnsi" w:hAnsiTheme="majorHAnsi"/>
              </w:rPr>
              <w:t>r’ship</w:t>
            </w:r>
            <w:proofErr w:type="spellEnd"/>
            <w:r w:rsidRPr="00E730FB">
              <w:rPr>
                <w:rFonts w:asciiTheme="majorHAnsi" w:hAnsiTheme="majorHAnsi"/>
              </w:rPr>
              <w:t xml:space="preserve"> </w:t>
            </w:r>
          </w:p>
          <w:p w14:paraId="6B403841" w14:textId="77777777" w:rsidR="00E86A06" w:rsidRPr="00E730FB" w:rsidRDefault="00E86A06" w:rsidP="00D465A6">
            <w:pPr>
              <w:rPr>
                <w:rFonts w:asciiTheme="majorHAnsi" w:hAnsiTheme="majorHAnsi"/>
              </w:rPr>
            </w:pPr>
          </w:p>
        </w:tc>
      </w:tr>
      <w:tr w:rsidR="00D465A6" w:rsidRPr="00E730FB" w14:paraId="5C2841D2" w14:textId="77777777" w:rsidTr="001A6104">
        <w:tc>
          <w:tcPr>
            <w:tcW w:w="3828" w:type="dxa"/>
          </w:tcPr>
          <w:p w14:paraId="38FEA793" w14:textId="77777777" w:rsidR="00D465A6" w:rsidRPr="00E730FB" w:rsidRDefault="00D465A6" w:rsidP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Other effective communication skills to maintain/manage changes to/enhance a relationship </w:t>
            </w:r>
          </w:p>
        </w:tc>
        <w:tc>
          <w:tcPr>
            <w:tcW w:w="2974" w:type="dxa"/>
          </w:tcPr>
          <w:p w14:paraId="1C6F777D" w14:textId="77777777" w:rsidR="00D465A6" w:rsidRPr="00E730FB" w:rsidRDefault="00D465A6" w:rsidP="00D465A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(effective communication) </w:t>
            </w:r>
          </w:p>
          <w:p w14:paraId="7B47BC04" w14:textId="77777777" w:rsidR="00D465A6" w:rsidRPr="00E730FB" w:rsidRDefault="00D465A6" w:rsidP="00D465A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1.4 (skills for maintaining, managing changes to, enhancing </w:t>
            </w:r>
            <w:proofErr w:type="spellStart"/>
            <w:r w:rsidRPr="00E730FB">
              <w:rPr>
                <w:rFonts w:asciiTheme="majorHAnsi" w:hAnsiTheme="majorHAnsi"/>
              </w:rPr>
              <w:t>r’ships</w:t>
            </w:r>
            <w:proofErr w:type="spellEnd"/>
            <w:r w:rsidRPr="00E730FB">
              <w:rPr>
                <w:rFonts w:asciiTheme="majorHAnsi" w:hAnsiTheme="majorHAnsi"/>
              </w:rPr>
              <w:t>)</w:t>
            </w:r>
          </w:p>
        </w:tc>
        <w:tc>
          <w:tcPr>
            <w:tcW w:w="3689" w:type="dxa"/>
          </w:tcPr>
          <w:p w14:paraId="0A04DBD8" w14:textId="77777777" w:rsidR="00D465A6" w:rsidRPr="00E730FB" w:rsidRDefault="00D465A6" w:rsidP="00D465A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– positive sexuality </w:t>
            </w:r>
          </w:p>
          <w:p w14:paraId="7772A0A4" w14:textId="77777777" w:rsidR="00D465A6" w:rsidRPr="00E730FB" w:rsidRDefault="00D465A6" w:rsidP="00D465A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1.4 – enhanced </w:t>
            </w:r>
            <w:proofErr w:type="spellStart"/>
            <w:r w:rsidRPr="00E730FB">
              <w:rPr>
                <w:rFonts w:asciiTheme="majorHAnsi" w:hAnsiTheme="majorHAnsi"/>
              </w:rPr>
              <w:t>r’ship</w:t>
            </w:r>
            <w:proofErr w:type="spellEnd"/>
            <w:r w:rsidRPr="00E730FB">
              <w:rPr>
                <w:rFonts w:asciiTheme="majorHAnsi" w:hAnsiTheme="majorHAnsi"/>
              </w:rPr>
              <w:t xml:space="preserve"> </w:t>
            </w:r>
          </w:p>
          <w:p w14:paraId="0389B61B" w14:textId="77777777" w:rsidR="001A6104" w:rsidRPr="00E730FB" w:rsidRDefault="001A6104" w:rsidP="00D465A6">
            <w:pPr>
              <w:rPr>
                <w:rFonts w:asciiTheme="majorHAnsi" w:hAnsiTheme="majorHAnsi"/>
              </w:rPr>
            </w:pPr>
          </w:p>
          <w:p w14:paraId="551BED78" w14:textId="77777777" w:rsidR="001A6104" w:rsidRPr="00E730FB" w:rsidRDefault="001A6104" w:rsidP="00D465A6">
            <w:pPr>
              <w:rPr>
                <w:rFonts w:asciiTheme="majorHAnsi" w:hAnsiTheme="majorHAnsi"/>
              </w:rPr>
            </w:pPr>
          </w:p>
          <w:p w14:paraId="2B71EF42" w14:textId="77777777" w:rsidR="001A6104" w:rsidRPr="00E730FB" w:rsidRDefault="001A6104" w:rsidP="00D465A6">
            <w:pPr>
              <w:rPr>
                <w:rFonts w:asciiTheme="majorHAnsi" w:hAnsiTheme="majorHAnsi"/>
              </w:rPr>
            </w:pPr>
          </w:p>
          <w:p w14:paraId="4CF48893" w14:textId="77777777" w:rsidR="00D465A6" w:rsidRPr="00E730FB" w:rsidRDefault="00D465A6" w:rsidP="001A6104">
            <w:pPr>
              <w:rPr>
                <w:rFonts w:asciiTheme="majorHAnsi" w:hAnsiTheme="majorHAnsi"/>
              </w:rPr>
            </w:pPr>
          </w:p>
        </w:tc>
      </w:tr>
      <w:tr w:rsidR="001A6104" w:rsidRPr="00E730FB" w14:paraId="5DC8721A" w14:textId="77777777" w:rsidTr="001A6104">
        <w:tc>
          <w:tcPr>
            <w:tcW w:w="3828" w:type="dxa"/>
          </w:tcPr>
          <w:p w14:paraId="0F720E00" w14:textId="77777777" w:rsidR="001A6104" w:rsidRPr="00E730FB" w:rsidRDefault="001A6104" w:rsidP="00E86A06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What effective listening skills could Sam or Jodi use if they were to have a conversation about this? </w:t>
            </w:r>
          </w:p>
        </w:tc>
        <w:tc>
          <w:tcPr>
            <w:tcW w:w="2974" w:type="dxa"/>
          </w:tcPr>
          <w:p w14:paraId="258FE161" w14:textId="77777777" w:rsidR="001A6104" w:rsidRPr="00E730FB" w:rsidRDefault="001A6104" w:rsidP="001A6104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(effective communication) </w:t>
            </w:r>
          </w:p>
          <w:p w14:paraId="1BC615BD" w14:textId="77777777" w:rsidR="001A6104" w:rsidRPr="00E730FB" w:rsidRDefault="001A6104" w:rsidP="001A6104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>1.4 (listening skills- and practical demo)</w:t>
            </w:r>
          </w:p>
        </w:tc>
        <w:tc>
          <w:tcPr>
            <w:tcW w:w="3689" w:type="dxa"/>
          </w:tcPr>
          <w:p w14:paraId="193CC2CA" w14:textId="77777777" w:rsidR="001A6104" w:rsidRPr="00E730FB" w:rsidRDefault="001A6104" w:rsidP="001A6104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1.5 – positive sexuality </w:t>
            </w:r>
          </w:p>
          <w:p w14:paraId="4B096BAA" w14:textId="77777777" w:rsidR="001A6104" w:rsidRPr="00E730FB" w:rsidRDefault="001A6104" w:rsidP="001A6104">
            <w:pPr>
              <w:rPr>
                <w:rFonts w:asciiTheme="majorHAnsi" w:hAnsiTheme="majorHAnsi"/>
              </w:rPr>
            </w:pPr>
            <w:r w:rsidRPr="00E730FB">
              <w:rPr>
                <w:rFonts w:asciiTheme="majorHAnsi" w:hAnsiTheme="majorHAnsi"/>
              </w:rPr>
              <w:t xml:space="preserve">1.4 – enhanced </w:t>
            </w:r>
            <w:proofErr w:type="spellStart"/>
            <w:r w:rsidRPr="00E730FB">
              <w:rPr>
                <w:rFonts w:asciiTheme="majorHAnsi" w:hAnsiTheme="majorHAnsi"/>
              </w:rPr>
              <w:t>r’ship</w:t>
            </w:r>
            <w:proofErr w:type="spellEnd"/>
            <w:r w:rsidRPr="00E730FB">
              <w:rPr>
                <w:rFonts w:asciiTheme="majorHAnsi" w:hAnsiTheme="majorHAnsi"/>
              </w:rPr>
              <w:t xml:space="preserve">/ highly effective and coherent demo </w:t>
            </w:r>
          </w:p>
          <w:p w14:paraId="43744002" w14:textId="77777777" w:rsidR="001A6104" w:rsidRPr="00E730FB" w:rsidRDefault="001A6104" w:rsidP="00D465A6">
            <w:pPr>
              <w:rPr>
                <w:rFonts w:asciiTheme="majorHAnsi" w:hAnsiTheme="majorHAnsi"/>
              </w:rPr>
            </w:pPr>
          </w:p>
        </w:tc>
      </w:tr>
    </w:tbl>
    <w:p w14:paraId="7779E146" w14:textId="77777777" w:rsidR="00E730FB" w:rsidRDefault="00E730FB" w:rsidP="00D465A6">
      <w:pPr>
        <w:rPr>
          <w:rFonts w:asciiTheme="majorHAnsi" w:hAnsiTheme="majorHAnsi"/>
        </w:rPr>
      </w:pPr>
    </w:p>
    <w:p w14:paraId="338E046D" w14:textId="189717D4" w:rsidR="00E730FB" w:rsidRPr="00E730FB" w:rsidRDefault="00E730FB" w:rsidP="00D465A6">
      <w:pPr>
        <w:rPr>
          <w:rFonts w:asciiTheme="majorHAnsi" w:hAnsiTheme="majorHAnsi"/>
        </w:rPr>
      </w:pPr>
      <w:bookmarkStart w:id="0" w:name="_GoBack"/>
      <w:proofErr w:type="gramStart"/>
      <w:r>
        <w:rPr>
          <w:rFonts w:asciiTheme="majorHAnsi" w:hAnsiTheme="majorHAnsi"/>
        </w:rPr>
        <w:t>NZHEA, 2019.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For member use.</w:t>
      </w:r>
      <w:proofErr w:type="gramEnd"/>
      <w:r>
        <w:rPr>
          <w:rFonts w:asciiTheme="majorHAnsi" w:hAnsiTheme="majorHAnsi"/>
        </w:rPr>
        <w:t xml:space="preserve"> </w:t>
      </w:r>
    </w:p>
    <w:bookmarkEnd w:id="0"/>
    <w:p w14:paraId="4A4120BD" w14:textId="77777777" w:rsidR="00D71296" w:rsidRPr="00E730FB" w:rsidRDefault="00D71296" w:rsidP="00D465A6">
      <w:pPr>
        <w:rPr>
          <w:rFonts w:asciiTheme="majorHAnsi" w:hAnsiTheme="majorHAnsi"/>
        </w:rPr>
      </w:pPr>
    </w:p>
    <w:sectPr w:rsidR="00D71296" w:rsidRPr="00E730FB" w:rsidSect="001A6104">
      <w:pgSz w:w="11900" w:h="16840"/>
      <w:pgMar w:top="709" w:right="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06"/>
    <w:rsid w:val="001A6104"/>
    <w:rsid w:val="00C318CF"/>
    <w:rsid w:val="00D44994"/>
    <w:rsid w:val="00D465A6"/>
    <w:rsid w:val="00D71296"/>
    <w:rsid w:val="00E730FB"/>
    <w:rsid w:val="00E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3C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391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Dixon</dc:creator>
  <cp:keywords/>
  <dc:description/>
  <cp:lastModifiedBy>Rachael Dixon</cp:lastModifiedBy>
  <cp:revision>4</cp:revision>
  <dcterms:created xsi:type="dcterms:W3CDTF">2018-10-29T18:11:00Z</dcterms:created>
  <dcterms:modified xsi:type="dcterms:W3CDTF">2019-01-11T00:48:00Z</dcterms:modified>
</cp:coreProperties>
</file>