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600"/>
      </w:tblGrid>
      <w:tr w:rsidR="009B48FB" w14:paraId="674A380D" w14:textId="77777777" w:rsidTr="00661228">
        <w:trPr>
          <w:trHeight w:val="1702"/>
        </w:trPr>
        <w:tc>
          <w:tcPr>
            <w:tcW w:w="8080" w:type="dxa"/>
            <w:shd w:val="clear" w:color="auto" w:fill="D9D9D9" w:themeFill="background1" w:themeFillShade="D9"/>
          </w:tcPr>
          <w:p w14:paraId="2F9B0B3A" w14:textId="77777777" w:rsidR="009B48FB" w:rsidRPr="009B48FB" w:rsidRDefault="009B48FB">
            <w:pPr>
              <w:rPr>
                <w:b/>
                <w:sz w:val="40"/>
                <w:szCs w:val="40"/>
              </w:rPr>
            </w:pPr>
            <w:r w:rsidRPr="009B48FB">
              <w:rPr>
                <w:b/>
                <w:sz w:val="40"/>
                <w:szCs w:val="40"/>
              </w:rPr>
              <w:t>Suggested activities for the August 2021 Accord days</w:t>
            </w:r>
          </w:p>
          <w:p w14:paraId="6A0A8F3A" w14:textId="77777777" w:rsidR="009B48FB" w:rsidRDefault="009B48FB">
            <w:r w:rsidRPr="009B48FB">
              <w:rPr>
                <w:sz w:val="40"/>
                <w:szCs w:val="40"/>
              </w:rPr>
              <w:t>Phase 2 NCEA Level 1 materials</w:t>
            </w:r>
            <w:r>
              <w:t xml:space="preserve"> </w:t>
            </w:r>
          </w:p>
        </w:tc>
        <w:tc>
          <w:tcPr>
            <w:tcW w:w="2600" w:type="dxa"/>
          </w:tcPr>
          <w:p w14:paraId="32259823" w14:textId="77777777" w:rsidR="009B48FB" w:rsidRDefault="009B48FB">
            <w:r>
              <w:rPr>
                <w:noProof/>
                <w:lang w:eastAsia="en-NZ"/>
              </w:rPr>
              <w:drawing>
                <wp:inline distT="0" distB="0" distL="0" distR="0" wp14:anchorId="58C28526" wp14:editId="397AE197">
                  <wp:extent cx="1465385" cy="1114425"/>
                  <wp:effectExtent l="0" t="0" r="190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1473259" cy="1120413"/>
                          </a:xfrm>
                          <a:prstGeom prst="rect">
                            <a:avLst/>
                          </a:prstGeom>
                        </pic:spPr>
                      </pic:pic>
                    </a:graphicData>
                  </a:graphic>
                </wp:inline>
              </w:drawing>
            </w:r>
          </w:p>
        </w:tc>
      </w:tr>
    </w:tbl>
    <w:p w14:paraId="2555338D" w14:textId="77777777" w:rsidR="009B48FB" w:rsidRDefault="009B48FB"/>
    <w:p w14:paraId="50A7601E" w14:textId="77777777" w:rsidR="0041353E" w:rsidRPr="00661228" w:rsidRDefault="0041353E" w:rsidP="00A3645F">
      <w:pPr>
        <w:tabs>
          <w:tab w:val="right" w:pos="10466"/>
        </w:tabs>
        <w:rPr>
          <w:sz w:val="28"/>
          <w:szCs w:val="28"/>
        </w:rPr>
      </w:pPr>
      <w:r w:rsidRPr="00661228">
        <w:rPr>
          <w:color w:val="C00000"/>
          <w:sz w:val="28"/>
          <w:szCs w:val="28"/>
        </w:rPr>
        <w:t xml:space="preserve">Navigation: Link to </w:t>
      </w:r>
      <w:hyperlink r:id="rId6" w:history="1">
        <w:r w:rsidRPr="00661228">
          <w:rPr>
            <w:rStyle w:val="Hyperlink"/>
            <w:sz w:val="28"/>
            <w:szCs w:val="28"/>
          </w:rPr>
          <w:t>https://ncea.education.govt.nz/</w:t>
        </w:r>
      </w:hyperlink>
      <w:r w:rsidRPr="00661228">
        <w:rPr>
          <w:sz w:val="28"/>
          <w:szCs w:val="28"/>
        </w:rPr>
        <w:t xml:space="preserve"> …. </w:t>
      </w:r>
      <w:r w:rsidRPr="00661228">
        <w:rPr>
          <w:color w:val="C00000"/>
          <w:sz w:val="28"/>
          <w:szCs w:val="28"/>
        </w:rPr>
        <w:t xml:space="preserve">Click on the ‘Subjects’ tab </w:t>
      </w:r>
      <w:r w:rsidR="00A3645F" w:rsidRPr="00661228">
        <w:rPr>
          <w:color w:val="C00000"/>
          <w:sz w:val="28"/>
          <w:szCs w:val="28"/>
        </w:rPr>
        <w:tab/>
      </w:r>
    </w:p>
    <w:p w14:paraId="401F4C12" w14:textId="77777777" w:rsidR="0041353E" w:rsidRPr="00661228" w:rsidRDefault="0041353E">
      <w:pPr>
        <w:rPr>
          <w:sz w:val="28"/>
          <w:szCs w:val="28"/>
        </w:rPr>
      </w:pPr>
      <w:r w:rsidRPr="00661228">
        <w:rPr>
          <w:color w:val="C00000"/>
          <w:sz w:val="28"/>
          <w:szCs w:val="28"/>
        </w:rPr>
        <w:t xml:space="preserve">Select </w:t>
      </w:r>
      <w:r w:rsidRPr="00661228">
        <w:rPr>
          <w:sz w:val="28"/>
          <w:szCs w:val="28"/>
        </w:rPr>
        <w:t xml:space="preserve">Health Education (with Home Economics) </w:t>
      </w:r>
    </w:p>
    <w:p w14:paraId="0BB61AF8" w14:textId="77777777" w:rsidR="0041353E" w:rsidRDefault="0041353E">
      <w:r>
        <w:rPr>
          <w:noProof/>
          <w:lang w:eastAsia="en-NZ"/>
        </w:rPr>
        <w:drawing>
          <wp:inline distT="0" distB="0" distL="0" distR="0" wp14:anchorId="3A2D2F14" wp14:editId="7273E835">
            <wp:extent cx="6645910" cy="35579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3557905"/>
                    </a:xfrm>
                    <a:prstGeom prst="rect">
                      <a:avLst/>
                    </a:prstGeom>
                  </pic:spPr>
                </pic:pic>
              </a:graphicData>
            </a:graphic>
          </wp:inline>
        </w:drawing>
      </w:r>
    </w:p>
    <w:p w14:paraId="64355A0F" w14:textId="77777777" w:rsidR="009B48FB" w:rsidRDefault="0041353E">
      <w:r w:rsidRPr="00661228">
        <w:rPr>
          <w:sz w:val="28"/>
          <w:szCs w:val="28"/>
        </w:rPr>
        <w:t xml:space="preserve">Use the tab across the top to navigate the various </w:t>
      </w:r>
      <w:r w:rsidR="00826FA2">
        <w:rPr>
          <w:sz w:val="28"/>
          <w:szCs w:val="28"/>
        </w:rPr>
        <w:t xml:space="preserve">Phase 2 </w:t>
      </w:r>
      <w:r w:rsidRPr="00661228">
        <w:rPr>
          <w:sz w:val="28"/>
          <w:szCs w:val="28"/>
        </w:rPr>
        <w:t xml:space="preserve">materials </w:t>
      </w:r>
      <w:r w:rsidR="00661228">
        <w:rPr>
          <w:noProof/>
          <w:lang w:eastAsia="en-NZ"/>
        </w:rPr>
        <w:drawing>
          <wp:inline distT="0" distB="0" distL="0" distR="0" wp14:anchorId="63A02034" wp14:editId="11005AE9">
            <wp:extent cx="6645910" cy="12661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1266190"/>
                    </a:xfrm>
                    <a:prstGeom prst="rect">
                      <a:avLst/>
                    </a:prstGeom>
                  </pic:spPr>
                </pic:pic>
              </a:graphicData>
            </a:graphic>
          </wp:inline>
        </w:drawing>
      </w:r>
    </w:p>
    <w:tbl>
      <w:tblPr>
        <w:tblStyle w:val="TableGrid"/>
        <w:tblW w:w="0" w:type="auto"/>
        <w:tblLook w:val="04A0" w:firstRow="1" w:lastRow="0" w:firstColumn="1" w:lastColumn="0" w:noHBand="0" w:noVBand="1"/>
      </w:tblPr>
      <w:tblGrid>
        <w:gridCol w:w="10456"/>
      </w:tblGrid>
      <w:tr w:rsidR="0041353E" w14:paraId="4B3181F1" w14:textId="77777777" w:rsidTr="00661228">
        <w:tc>
          <w:tcPr>
            <w:tcW w:w="10456" w:type="dxa"/>
            <w:shd w:val="clear" w:color="auto" w:fill="FFF2CC" w:themeFill="accent4" w:themeFillTint="33"/>
          </w:tcPr>
          <w:p w14:paraId="6DCCD39A" w14:textId="77777777" w:rsidR="0041353E" w:rsidRDefault="0041353E" w:rsidP="0041353E">
            <w:r>
              <w:t xml:space="preserve">If you haven’t already done so, add your voice to the proposed Level 2 and 3 subject list </w:t>
            </w:r>
            <w:hyperlink r:id="rId9" w:history="1">
              <w:r w:rsidRPr="005F7326">
                <w:rPr>
                  <w:rStyle w:val="Hyperlink"/>
                </w:rPr>
                <w:t>https://consultation.education.govt.nz/ncea/ncea-level-2-3-subject-list/</w:t>
              </w:r>
            </w:hyperlink>
            <w:r>
              <w:t xml:space="preserve"> </w:t>
            </w:r>
          </w:p>
          <w:p w14:paraId="65DEB933" w14:textId="77777777" w:rsidR="0041353E" w:rsidRDefault="0041353E" w:rsidP="0041353E"/>
          <w:p w14:paraId="2C73B5EA" w14:textId="77777777" w:rsidR="0041353E" w:rsidRDefault="0041353E" w:rsidP="0041353E">
            <w:r>
              <w:t>It is</w:t>
            </w:r>
            <w:r w:rsidRPr="0041353E">
              <w:rPr>
                <w:color w:val="C00000"/>
              </w:rPr>
              <w:t xml:space="preserve"> PROPOSED </w:t>
            </w:r>
            <w:r>
              <w:t>that:</w:t>
            </w:r>
          </w:p>
          <w:p w14:paraId="6E16AA6C" w14:textId="77777777" w:rsidR="0041353E" w:rsidRDefault="0041353E" w:rsidP="0041353E">
            <w:r>
              <w:t>L2&amp;3 Health Education and Physical Education remain as subjects</w:t>
            </w:r>
          </w:p>
          <w:p w14:paraId="7694D7F5" w14:textId="77777777" w:rsidR="0041353E" w:rsidRDefault="0041353E" w:rsidP="0041353E">
            <w:r>
              <w:t>Home Economics is reshaped and rebranded as Food and Nutrition</w:t>
            </w:r>
          </w:p>
          <w:p w14:paraId="472DD368" w14:textId="77777777" w:rsidR="0041353E" w:rsidRDefault="0041353E" w:rsidP="0041353E"/>
          <w:p w14:paraId="44140AEE" w14:textId="77777777" w:rsidR="0041353E" w:rsidRDefault="0041353E" w:rsidP="0041353E">
            <w:r>
              <w:t xml:space="preserve">New subjects to be developed </w:t>
            </w:r>
            <w:r w:rsidRPr="0041353E">
              <w:rPr>
                <w:i/>
              </w:rPr>
              <w:t>(think about the implications of this split NZC/TMoA decision ….)</w:t>
            </w:r>
          </w:p>
          <w:p w14:paraId="4FF4379C" w14:textId="77777777" w:rsidR="0041353E" w:rsidRDefault="0041353E" w:rsidP="0041353E">
            <w:pPr>
              <w:pStyle w:val="ListParagraph"/>
              <w:numPr>
                <w:ilvl w:val="0"/>
                <w:numId w:val="8"/>
              </w:numPr>
            </w:pPr>
            <w:r w:rsidRPr="0041353E">
              <w:rPr>
                <w:color w:val="C00000"/>
              </w:rPr>
              <w:t xml:space="preserve">‘Whaiora’ </w:t>
            </w:r>
            <w:r>
              <w:t xml:space="preserve">will sit under HPE in the NZC </w:t>
            </w:r>
          </w:p>
          <w:p w14:paraId="67062BC5" w14:textId="77777777" w:rsidR="0041353E" w:rsidRDefault="0041353E" w:rsidP="0041353E">
            <w:pPr>
              <w:pStyle w:val="ListParagraph"/>
              <w:numPr>
                <w:ilvl w:val="0"/>
                <w:numId w:val="8"/>
              </w:numPr>
            </w:pPr>
            <w:r>
              <w:t xml:space="preserve">And a new subject </w:t>
            </w:r>
            <w:r w:rsidRPr="0041353E">
              <w:rPr>
                <w:color w:val="C00000"/>
              </w:rPr>
              <w:t>‘H</w:t>
            </w:r>
            <w:r w:rsidRPr="0041353E">
              <w:rPr>
                <w:rFonts w:cstheme="minorHAnsi"/>
                <w:color w:val="C00000"/>
              </w:rPr>
              <w:t>ā</w:t>
            </w:r>
            <w:r w:rsidRPr="0041353E">
              <w:rPr>
                <w:color w:val="C00000"/>
              </w:rPr>
              <w:t xml:space="preserve">kinakina’ </w:t>
            </w:r>
            <w:r>
              <w:t xml:space="preserve">will sit under Hauora in Te Marautanga o Aotearoa     </w:t>
            </w:r>
          </w:p>
          <w:p w14:paraId="72CA0512" w14:textId="77777777" w:rsidR="0041353E" w:rsidRDefault="0041353E"/>
        </w:tc>
      </w:tr>
    </w:tbl>
    <w:p w14:paraId="4552E4E0" w14:textId="77777777" w:rsidR="00661228" w:rsidRDefault="00661228"/>
    <w:p w14:paraId="1823358D" w14:textId="77777777" w:rsidR="00661228" w:rsidRDefault="00661228">
      <w:r>
        <w:br w:type="page"/>
      </w:r>
    </w:p>
    <w:tbl>
      <w:tblPr>
        <w:tblStyle w:val="TableGrid"/>
        <w:tblW w:w="0" w:type="auto"/>
        <w:tblLook w:val="04A0" w:firstRow="1" w:lastRow="0" w:firstColumn="1" w:lastColumn="0" w:noHBand="0" w:noVBand="1"/>
      </w:tblPr>
      <w:tblGrid>
        <w:gridCol w:w="5228"/>
        <w:gridCol w:w="5228"/>
      </w:tblGrid>
      <w:tr w:rsidR="00661228" w14:paraId="5D210584" w14:textId="77777777" w:rsidTr="00661228">
        <w:tc>
          <w:tcPr>
            <w:tcW w:w="5228" w:type="dxa"/>
            <w:shd w:val="clear" w:color="auto" w:fill="C00000"/>
          </w:tcPr>
          <w:p w14:paraId="19CA2357" w14:textId="77777777" w:rsidR="00661228" w:rsidRPr="00855FCD" w:rsidRDefault="00826FA2">
            <w:pPr>
              <w:rPr>
                <w:b/>
                <w:color w:val="FFFFFF" w:themeColor="background1"/>
                <w:sz w:val="28"/>
                <w:szCs w:val="28"/>
              </w:rPr>
            </w:pPr>
            <w:r w:rsidRPr="00855FCD">
              <w:rPr>
                <w:b/>
                <w:color w:val="FFFFFF" w:themeColor="background1"/>
                <w:sz w:val="28"/>
                <w:szCs w:val="28"/>
              </w:rPr>
              <w:lastRenderedPageBreak/>
              <w:t>Learning</w:t>
            </w:r>
          </w:p>
        </w:tc>
        <w:tc>
          <w:tcPr>
            <w:tcW w:w="5228" w:type="dxa"/>
            <w:shd w:val="clear" w:color="auto" w:fill="C00000"/>
          </w:tcPr>
          <w:p w14:paraId="7ABA6E29" w14:textId="77777777" w:rsidR="00661228" w:rsidRPr="00661228" w:rsidRDefault="00661228">
            <w:pPr>
              <w:rPr>
                <w:sz w:val="28"/>
                <w:szCs w:val="28"/>
              </w:rPr>
            </w:pPr>
            <w:r w:rsidRPr="00661228">
              <w:rPr>
                <w:sz w:val="28"/>
                <w:szCs w:val="28"/>
              </w:rPr>
              <w:t xml:space="preserve">Discussion questions </w:t>
            </w:r>
          </w:p>
        </w:tc>
      </w:tr>
      <w:tr w:rsidR="00661228" w14:paraId="1E4C24A3" w14:textId="77777777" w:rsidTr="00661228">
        <w:tc>
          <w:tcPr>
            <w:tcW w:w="5228" w:type="dxa"/>
          </w:tcPr>
          <w:p w14:paraId="56DD8513" w14:textId="77777777" w:rsidR="00661228" w:rsidRDefault="00661228" w:rsidP="00661228">
            <w:r w:rsidRPr="00826FA2">
              <w:rPr>
                <w:b/>
              </w:rPr>
              <w:t>BIG IDEAS</w:t>
            </w:r>
            <w:r>
              <w:t xml:space="preserve"> – </w:t>
            </w:r>
            <w:r w:rsidRPr="005300D0">
              <w:rPr>
                <w:color w:val="0070C0"/>
              </w:rPr>
              <w:t>download the pdf that is the learning matrix.</w:t>
            </w:r>
          </w:p>
          <w:p w14:paraId="0B4707DE" w14:textId="77777777" w:rsidR="00661228" w:rsidRDefault="00661228" w:rsidP="00826FA2">
            <w:pPr>
              <w:pStyle w:val="ListParagraph"/>
              <w:numPr>
                <w:ilvl w:val="0"/>
                <w:numId w:val="10"/>
              </w:numPr>
            </w:pPr>
            <w:r>
              <w:t>Not all of the BIG IDEAS are required to be assessed.</w:t>
            </w:r>
          </w:p>
          <w:p w14:paraId="3F057A95" w14:textId="77777777" w:rsidR="00661228" w:rsidRPr="00826FA2" w:rsidRDefault="00661228" w:rsidP="00826FA2">
            <w:pPr>
              <w:pStyle w:val="ListParagraph"/>
              <w:numPr>
                <w:ilvl w:val="0"/>
                <w:numId w:val="10"/>
              </w:numPr>
              <w:rPr>
                <w:i/>
              </w:rPr>
            </w:pPr>
            <w:r w:rsidRPr="00826FA2">
              <w:rPr>
                <w:i/>
              </w:rPr>
              <w:t>See the additional text on this page unpacking the intent of these BIG IDEA</w:t>
            </w:r>
            <w:r w:rsidR="00826FA2">
              <w:rPr>
                <w:i/>
              </w:rPr>
              <w:t>S.</w:t>
            </w:r>
          </w:p>
        </w:tc>
        <w:tc>
          <w:tcPr>
            <w:tcW w:w="5228" w:type="dxa"/>
          </w:tcPr>
          <w:p w14:paraId="503C830A" w14:textId="77777777" w:rsidR="00826FA2" w:rsidRPr="00855FCD" w:rsidRDefault="00661228" w:rsidP="00826FA2">
            <w:pPr>
              <w:pStyle w:val="ListParagraph"/>
              <w:numPr>
                <w:ilvl w:val="0"/>
                <w:numId w:val="9"/>
              </w:numPr>
              <w:ind w:left="188" w:hanging="188"/>
            </w:pPr>
            <w:r w:rsidRPr="00855FCD">
              <w:t xml:space="preserve">Can you see that you can incorporate all of the big ideas into your learning programme in some way? </w:t>
            </w:r>
          </w:p>
          <w:p w14:paraId="3C7BF977" w14:textId="77777777" w:rsidR="00855FCD" w:rsidRDefault="00826FA2" w:rsidP="00826FA2">
            <w:pPr>
              <w:pStyle w:val="ListParagraph"/>
              <w:numPr>
                <w:ilvl w:val="0"/>
                <w:numId w:val="9"/>
              </w:numPr>
              <w:ind w:left="188" w:hanging="188"/>
            </w:pPr>
            <w:r>
              <w:t>Which</w:t>
            </w:r>
            <w:r w:rsidR="00855FCD">
              <w:t xml:space="preserve"> big</w:t>
            </w:r>
            <w:r>
              <w:t xml:space="preserve"> ideas </w:t>
            </w:r>
            <w:r w:rsidR="00855FCD">
              <w:t>are straightforward and already part of your learning programme, and …</w:t>
            </w:r>
          </w:p>
          <w:p w14:paraId="7B1E141B" w14:textId="77777777" w:rsidR="00826FA2" w:rsidRDefault="00855FCD" w:rsidP="00826FA2">
            <w:pPr>
              <w:pStyle w:val="ListParagraph"/>
              <w:numPr>
                <w:ilvl w:val="0"/>
                <w:numId w:val="9"/>
              </w:numPr>
              <w:ind w:left="188" w:hanging="188"/>
            </w:pPr>
            <w:r>
              <w:t xml:space="preserve">Which big ideas </w:t>
            </w:r>
            <w:r w:rsidR="00826FA2">
              <w:t xml:space="preserve">may </w:t>
            </w:r>
            <w:r>
              <w:t>present a</w:t>
            </w:r>
            <w:r w:rsidR="00826FA2">
              <w:t xml:space="preserve"> greater challenge or</w:t>
            </w:r>
            <w:r>
              <w:t xml:space="preserve"> require</w:t>
            </w:r>
            <w:r w:rsidR="00826FA2">
              <w:t xml:space="preserve"> a different consideration to what you currently do? </w:t>
            </w:r>
          </w:p>
          <w:p w14:paraId="4BF653C2" w14:textId="77777777" w:rsidR="00826FA2" w:rsidRDefault="00826FA2" w:rsidP="00826FA2">
            <w:pPr>
              <w:pStyle w:val="ListParagraph"/>
              <w:numPr>
                <w:ilvl w:val="0"/>
                <w:numId w:val="9"/>
              </w:numPr>
              <w:ind w:left="188" w:hanging="188"/>
            </w:pPr>
            <w:r>
              <w:t xml:space="preserve">What </w:t>
            </w:r>
            <w:r w:rsidR="00855FCD">
              <w:t>(re)</w:t>
            </w:r>
            <w:r>
              <w:t>sources will you use to help develop th</w:t>
            </w:r>
            <w:r w:rsidR="00855FCD">
              <w:t>ese</w:t>
            </w:r>
            <w:r>
              <w:t xml:space="preserve"> aspect</w:t>
            </w:r>
            <w:r w:rsidR="00855FCD">
              <w:t>s</w:t>
            </w:r>
            <w:r>
              <w:t xml:space="preserve"> of your learning programme? </w:t>
            </w:r>
          </w:p>
          <w:p w14:paraId="43F80E5F" w14:textId="77777777" w:rsidR="00661228" w:rsidRDefault="00661228"/>
        </w:tc>
      </w:tr>
      <w:tr w:rsidR="00661228" w14:paraId="62CA2479" w14:textId="77777777" w:rsidTr="00826FA2">
        <w:tc>
          <w:tcPr>
            <w:tcW w:w="5228" w:type="dxa"/>
            <w:shd w:val="clear" w:color="auto" w:fill="C00000"/>
          </w:tcPr>
          <w:p w14:paraId="6A2637AF" w14:textId="77777777" w:rsidR="00661228" w:rsidRPr="00855FCD" w:rsidRDefault="00826FA2">
            <w:pPr>
              <w:rPr>
                <w:b/>
                <w:sz w:val="28"/>
                <w:szCs w:val="28"/>
              </w:rPr>
            </w:pPr>
            <w:r w:rsidRPr="00855FCD">
              <w:rPr>
                <w:b/>
                <w:sz w:val="28"/>
                <w:szCs w:val="28"/>
              </w:rPr>
              <w:t>Teaching</w:t>
            </w:r>
          </w:p>
        </w:tc>
        <w:tc>
          <w:tcPr>
            <w:tcW w:w="5228" w:type="dxa"/>
            <w:shd w:val="clear" w:color="auto" w:fill="C00000"/>
          </w:tcPr>
          <w:p w14:paraId="573336CC" w14:textId="77777777" w:rsidR="00661228" w:rsidRDefault="00661228"/>
        </w:tc>
      </w:tr>
      <w:tr w:rsidR="00661228" w14:paraId="6F348ED3" w14:textId="77777777" w:rsidTr="00661228">
        <w:tc>
          <w:tcPr>
            <w:tcW w:w="5228" w:type="dxa"/>
          </w:tcPr>
          <w:p w14:paraId="7FE6132A" w14:textId="77777777" w:rsidR="00661228" w:rsidRPr="005300D0" w:rsidRDefault="00826FA2">
            <w:pPr>
              <w:rPr>
                <w:b/>
              </w:rPr>
            </w:pPr>
            <w:r w:rsidRPr="005300D0">
              <w:rPr>
                <w:b/>
              </w:rPr>
              <w:t>COURSE OUTLINES</w:t>
            </w:r>
          </w:p>
          <w:p w14:paraId="387A30F6" w14:textId="77777777" w:rsidR="005300D0" w:rsidRDefault="005300D0" w:rsidP="005300D0">
            <w:pPr>
              <w:rPr>
                <w:color w:val="0070C0"/>
              </w:rPr>
            </w:pPr>
            <w:r w:rsidRPr="005300D0">
              <w:rPr>
                <w:color w:val="0070C0"/>
              </w:rPr>
              <w:t xml:space="preserve">Download (and maybe print) the 3 course outlines. </w:t>
            </w:r>
          </w:p>
          <w:p w14:paraId="42B52D33" w14:textId="77777777" w:rsidR="005300D0" w:rsidRDefault="005300D0" w:rsidP="005300D0">
            <w:pPr>
              <w:rPr>
                <w:color w:val="0070C0"/>
              </w:rPr>
            </w:pPr>
          </w:p>
          <w:p w14:paraId="3B93E395" w14:textId="77777777" w:rsidR="005300D0" w:rsidRDefault="005300D0" w:rsidP="005300D0">
            <w:r>
              <w:t>Do NOT be in any way limited by these course outline.</w:t>
            </w:r>
          </w:p>
          <w:p w14:paraId="338E8DBE" w14:textId="77777777" w:rsidR="005300D0" w:rsidRDefault="005300D0"/>
          <w:p w14:paraId="7EE077DA" w14:textId="77777777" w:rsidR="00826FA2" w:rsidRPr="00D515A7" w:rsidRDefault="00826FA2">
            <w:pPr>
              <w:rPr>
                <w:i/>
              </w:rPr>
            </w:pPr>
            <w:r w:rsidRPr="00D515A7">
              <w:rPr>
                <w:i/>
              </w:rPr>
              <w:t xml:space="preserve">Note that the overall structure of these course outlines has been in consideration of those students who transition between schools. The risk with only 4 broadly focused standards is that assessment points occur less frequently </w:t>
            </w:r>
            <w:r w:rsidR="00855FCD">
              <w:rPr>
                <w:i/>
              </w:rPr>
              <w:t xml:space="preserve">across the year </w:t>
            </w:r>
            <w:r w:rsidRPr="00D515A7">
              <w:rPr>
                <w:i/>
              </w:rPr>
              <w:t xml:space="preserve">which may mean students changing schools miss assessment opportunities. If students in transition between schools is less of an issue for your community, this approach to course design becomes less important and frees up the way you can approach the design of a yearlong learning </w:t>
            </w:r>
            <w:r w:rsidR="005300D0" w:rsidRPr="00D515A7">
              <w:rPr>
                <w:i/>
              </w:rPr>
              <w:t>programme</w:t>
            </w:r>
            <w:r w:rsidRPr="00D515A7">
              <w:rPr>
                <w:i/>
              </w:rPr>
              <w:t xml:space="preserve">.  </w:t>
            </w:r>
          </w:p>
          <w:p w14:paraId="0462F17E" w14:textId="77777777" w:rsidR="00826FA2" w:rsidRDefault="00826FA2"/>
        </w:tc>
        <w:tc>
          <w:tcPr>
            <w:tcW w:w="5228" w:type="dxa"/>
          </w:tcPr>
          <w:p w14:paraId="7066D8A5" w14:textId="77777777" w:rsidR="00826FA2" w:rsidRDefault="00826FA2" w:rsidP="005300D0">
            <w:pPr>
              <w:pStyle w:val="ListParagraph"/>
              <w:numPr>
                <w:ilvl w:val="0"/>
                <w:numId w:val="11"/>
              </w:numPr>
              <w:ind w:left="329" w:hanging="329"/>
            </w:pPr>
            <w:r>
              <w:t>To what extent would you say you currently ‘plan to the Achievement Standards</w:t>
            </w:r>
            <w:r w:rsidR="005300D0">
              <w:t>”</w:t>
            </w:r>
            <w:r>
              <w:t>? [Be honest.]</w:t>
            </w:r>
          </w:p>
          <w:p w14:paraId="3492337E" w14:textId="77777777" w:rsidR="005300D0" w:rsidRDefault="00826FA2" w:rsidP="005300D0">
            <w:pPr>
              <w:pStyle w:val="ListParagraph"/>
              <w:numPr>
                <w:ilvl w:val="0"/>
                <w:numId w:val="11"/>
              </w:numPr>
              <w:ind w:left="329" w:hanging="329"/>
            </w:pPr>
            <w:r>
              <w:t>What will it take to shift the ‘</w:t>
            </w:r>
            <w:r w:rsidR="005300D0">
              <w:t>teaching</w:t>
            </w:r>
            <w:r>
              <w:t xml:space="preserve"> to the standards</w:t>
            </w:r>
            <w:r w:rsidR="005300D0">
              <w:t>’</w:t>
            </w:r>
            <w:r>
              <w:t xml:space="preserve"> many of us are locked into, to think more in terms of designing a </w:t>
            </w:r>
            <w:r w:rsidR="005300D0">
              <w:t>learning</w:t>
            </w:r>
            <w:r>
              <w:t xml:space="preserve"> programme that is </w:t>
            </w:r>
            <w:r w:rsidR="005300D0">
              <w:t>framed</w:t>
            </w:r>
            <w:r>
              <w:t xml:space="preserve"> by your school’s local </w:t>
            </w:r>
            <w:r w:rsidR="005300D0">
              <w:t>curriculum,</w:t>
            </w:r>
            <w:r>
              <w:t xml:space="preserve"> in response to learner needs, and as a response to the d</w:t>
            </w:r>
            <w:r w:rsidR="005300D0">
              <w:t>irection</w:t>
            </w:r>
            <w:r>
              <w:t xml:space="preserve"> provide</w:t>
            </w:r>
            <w:r w:rsidR="005300D0">
              <w:t>d</w:t>
            </w:r>
            <w:r>
              <w:t xml:space="preserve"> by the NZC</w:t>
            </w:r>
            <w:r w:rsidR="005300D0">
              <w:t xml:space="preserve"> (and other education policy)</w:t>
            </w:r>
            <w:r>
              <w:t xml:space="preserve">? </w:t>
            </w:r>
          </w:p>
          <w:p w14:paraId="67CE44DC" w14:textId="77777777" w:rsidR="00826FA2" w:rsidRDefault="00855FCD" w:rsidP="00855FCD">
            <w:pPr>
              <w:pStyle w:val="ListParagraph"/>
              <w:numPr>
                <w:ilvl w:val="0"/>
                <w:numId w:val="11"/>
              </w:numPr>
              <w:ind w:left="329" w:hanging="329"/>
            </w:pPr>
            <w:r>
              <w:t>H</w:t>
            </w:r>
            <w:r w:rsidR="005300D0">
              <w:t xml:space="preserve">ow can you see a Level 1 / year 11 HE(HE) programme being shaped in your school given the new ‘freedoms’ for the way you can design a learning programme? </w:t>
            </w:r>
            <w:r w:rsidRPr="00855FCD">
              <w:rPr>
                <w:b/>
              </w:rPr>
              <w:t>See the</w:t>
            </w:r>
            <w:r>
              <w:t xml:space="preserve"> </w:t>
            </w:r>
            <w:r w:rsidRPr="005300D0">
              <w:rPr>
                <w:b/>
              </w:rPr>
              <w:t xml:space="preserve">additional </w:t>
            </w:r>
            <w:r>
              <w:rPr>
                <w:b/>
              </w:rPr>
              <w:t>materials on the following pages.</w:t>
            </w:r>
          </w:p>
        </w:tc>
      </w:tr>
      <w:tr w:rsidR="00661228" w14:paraId="7D81F8D0" w14:textId="77777777" w:rsidTr="00826FA2">
        <w:tc>
          <w:tcPr>
            <w:tcW w:w="5228" w:type="dxa"/>
            <w:shd w:val="clear" w:color="auto" w:fill="C00000"/>
          </w:tcPr>
          <w:p w14:paraId="4E582BDD" w14:textId="77777777" w:rsidR="00661228" w:rsidRPr="00855FCD" w:rsidRDefault="00826FA2">
            <w:pPr>
              <w:rPr>
                <w:b/>
                <w:sz w:val="28"/>
                <w:szCs w:val="28"/>
              </w:rPr>
            </w:pPr>
            <w:r w:rsidRPr="00855FCD">
              <w:rPr>
                <w:b/>
                <w:sz w:val="28"/>
                <w:szCs w:val="28"/>
              </w:rPr>
              <w:t>Assessment</w:t>
            </w:r>
          </w:p>
        </w:tc>
        <w:tc>
          <w:tcPr>
            <w:tcW w:w="5228" w:type="dxa"/>
            <w:shd w:val="clear" w:color="auto" w:fill="C00000"/>
          </w:tcPr>
          <w:p w14:paraId="279796D4" w14:textId="77777777" w:rsidR="00661228" w:rsidRPr="00826FA2" w:rsidRDefault="00661228">
            <w:pPr>
              <w:rPr>
                <w:sz w:val="28"/>
                <w:szCs w:val="28"/>
              </w:rPr>
            </w:pPr>
          </w:p>
        </w:tc>
      </w:tr>
      <w:tr w:rsidR="00661228" w14:paraId="104F60FC" w14:textId="77777777" w:rsidTr="00661228">
        <w:tc>
          <w:tcPr>
            <w:tcW w:w="5228" w:type="dxa"/>
          </w:tcPr>
          <w:p w14:paraId="7E332D6F" w14:textId="77777777" w:rsidR="00661228" w:rsidRPr="005300D0" w:rsidRDefault="005300D0">
            <w:pPr>
              <w:rPr>
                <w:b/>
              </w:rPr>
            </w:pPr>
            <w:r w:rsidRPr="005300D0">
              <w:rPr>
                <w:b/>
              </w:rPr>
              <w:t>ACHIEVEMENT STANDARDS</w:t>
            </w:r>
          </w:p>
          <w:p w14:paraId="0C62EE7E" w14:textId="77777777" w:rsidR="005300D0" w:rsidRDefault="005300D0">
            <w:r>
              <w:t xml:space="preserve">      PLUS</w:t>
            </w:r>
          </w:p>
          <w:p w14:paraId="4A64124B" w14:textId="77777777" w:rsidR="005300D0" w:rsidRDefault="005300D0">
            <w:r w:rsidRPr="005300D0">
              <w:rPr>
                <w:b/>
              </w:rPr>
              <w:t>INTERNAL ASSESSMENT TASK</w:t>
            </w:r>
            <w:r>
              <w:t xml:space="preserve"> ideas – with additional materials, including template for adapting these tasks.</w:t>
            </w:r>
          </w:p>
          <w:p w14:paraId="7C1E9BC3" w14:textId="77777777" w:rsidR="00D515A7" w:rsidRDefault="00D515A7"/>
          <w:p w14:paraId="3D4A83D9" w14:textId="77777777" w:rsidR="00D515A7" w:rsidRPr="00D515A7" w:rsidRDefault="00D515A7">
            <w:pPr>
              <w:rPr>
                <w:color w:val="0070C0"/>
              </w:rPr>
            </w:pPr>
            <w:r w:rsidRPr="00D515A7">
              <w:rPr>
                <w:color w:val="0070C0"/>
              </w:rPr>
              <w:t xml:space="preserve">It’s worth downloading all of the text into a single document to be able to sit the proposed standards </w:t>
            </w:r>
            <w:r>
              <w:rPr>
                <w:color w:val="0070C0"/>
              </w:rPr>
              <w:t xml:space="preserve">and supporting materials </w:t>
            </w:r>
            <w:r w:rsidR="00855FCD">
              <w:rPr>
                <w:color w:val="0070C0"/>
              </w:rPr>
              <w:t xml:space="preserve">(examples of tasks) </w:t>
            </w:r>
            <w:r w:rsidRPr="00D515A7">
              <w:rPr>
                <w:color w:val="0070C0"/>
              </w:rPr>
              <w:t>side by side.</w:t>
            </w:r>
          </w:p>
          <w:p w14:paraId="6EB0E6FC" w14:textId="77777777" w:rsidR="005300D0" w:rsidRDefault="005300D0"/>
          <w:p w14:paraId="139A3282" w14:textId="77777777" w:rsidR="005300D0" w:rsidRDefault="005300D0">
            <w:r>
              <w:t xml:space="preserve">External assessments at this time are only an indication of the mode of assessment and timing in the year (no actual examples of assessments are provided).  </w:t>
            </w:r>
          </w:p>
          <w:p w14:paraId="1D905A81" w14:textId="77777777" w:rsidR="005300D0" w:rsidRDefault="005300D0"/>
          <w:p w14:paraId="45ECBFF5" w14:textId="77777777" w:rsidR="005300D0" w:rsidRPr="00825DD4" w:rsidRDefault="00825DD4">
            <w:pPr>
              <w:rPr>
                <w:b/>
                <w:i/>
              </w:rPr>
            </w:pPr>
            <w:r w:rsidRPr="00825DD4">
              <w:rPr>
                <w:b/>
                <w:i/>
              </w:rPr>
              <w:t>Note that there is a recommended word limit on Level 1 learning and assessment artefacts and that’s 750-800 words</w:t>
            </w:r>
            <w:r>
              <w:rPr>
                <w:b/>
                <w:i/>
              </w:rPr>
              <w:t xml:space="preserve"> or a 3-4 minute audio/video</w:t>
            </w:r>
            <w:r w:rsidRPr="00825DD4">
              <w:rPr>
                <w:b/>
                <w:i/>
              </w:rPr>
              <w:t xml:space="preserve">.  </w:t>
            </w:r>
          </w:p>
          <w:p w14:paraId="268D0394" w14:textId="77777777" w:rsidR="005300D0" w:rsidRDefault="005300D0"/>
        </w:tc>
        <w:tc>
          <w:tcPr>
            <w:tcW w:w="5228" w:type="dxa"/>
          </w:tcPr>
          <w:p w14:paraId="0ACF1BFC" w14:textId="77777777" w:rsidR="00825DD4" w:rsidRDefault="00D515A7">
            <w:r w:rsidRPr="00825DD4">
              <w:rPr>
                <w:b/>
              </w:rPr>
              <w:t>With the 4 standards in front of you,</w:t>
            </w:r>
            <w:r>
              <w:t xml:space="preserve"> can you see</w:t>
            </w:r>
            <w:r w:rsidR="00825DD4">
              <w:t>:</w:t>
            </w:r>
            <w:r>
              <w:t xml:space="preserve"> </w:t>
            </w:r>
          </w:p>
          <w:p w14:paraId="46715682" w14:textId="77777777" w:rsidR="005300D0" w:rsidRDefault="00825DD4" w:rsidP="00825DD4">
            <w:pPr>
              <w:pStyle w:val="ListParagraph"/>
              <w:numPr>
                <w:ilvl w:val="0"/>
                <w:numId w:val="15"/>
              </w:numPr>
              <w:ind w:left="329" w:hanging="283"/>
            </w:pPr>
            <w:r>
              <w:t>T</w:t>
            </w:r>
            <w:r w:rsidR="00D515A7">
              <w:t>he ‘logic’ in what is here</w:t>
            </w:r>
            <w:r>
              <w:t xml:space="preserve"> … </w:t>
            </w:r>
            <w:r w:rsidR="00D515A7">
              <w:t>given that HE(HE) is a consolidated subject</w:t>
            </w:r>
            <w:r>
              <w:t>?</w:t>
            </w:r>
            <w:r w:rsidR="00855FCD">
              <w:t xml:space="preserve"> </w:t>
            </w:r>
            <w:r w:rsidR="00855FCD" w:rsidRPr="00855FCD">
              <w:rPr>
                <w:b/>
              </w:rPr>
              <w:t>See the</w:t>
            </w:r>
            <w:r w:rsidR="00855FCD">
              <w:t xml:space="preserve"> </w:t>
            </w:r>
            <w:r w:rsidR="00855FCD" w:rsidRPr="005300D0">
              <w:rPr>
                <w:b/>
              </w:rPr>
              <w:t xml:space="preserve">additional </w:t>
            </w:r>
            <w:r w:rsidR="00855FCD">
              <w:rPr>
                <w:b/>
              </w:rPr>
              <w:t>materials on the following pages explaining what we’re moving away from and moving toward.</w:t>
            </w:r>
          </w:p>
          <w:p w14:paraId="05108967" w14:textId="77777777" w:rsidR="00825DD4" w:rsidRDefault="00825DD4" w:rsidP="00825DD4">
            <w:pPr>
              <w:pStyle w:val="ListParagraph"/>
              <w:numPr>
                <w:ilvl w:val="0"/>
                <w:numId w:val="15"/>
              </w:numPr>
              <w:ind w:left="329" w:hanging="283"/>
            </w:pPr>
            <w:r>
              <w:t>How each of the underlying concepts have in some way been ‘put on top’ for each standard (although the teaching in any context will cover all of the UCs), and</w:t>
            </w:r>
            <w:r w:rsidR="00855FCD">
              <w:t xml:space="preserve"> ….</w:t>
            </w:r>
            <w:r>
              <w:t xml:space="preserve"> </w:t>
            </w:r>
          </w:p>
          <w:p w14:paraId="6673F587" w14:textId="77777777" w:rsidR="001F3BB5" w:rsidRDefault="00825DD4" w:rsidP="00825DD4">
            <w:pPr>
              <w:pStyle w:val="ListParagraph"/>
              <w:numPr>
                <w:ilvl w:val="0"/>
                <w:numId w:val="15"/>
              </w:numPr>
              <w:ind w:left="329" w:hanging="283"/>
            </w:pPr>
            <w:r>
              <w:t>That the evidence collected for assessment is a snapshot of the degree to which students have got the main idea of the standards (</w:t>
            </w:r>
            <w:r w:rsidRPr="00825DD4">
              <w:rPr>
                <w:i/>
              </w:rPr>
              <w:t>and we’re not reassessing the underlying concepts several times over across different contexts like we currently do</w:t>
            </w:r>
            <w:r>
              <w:t xml:space="preserve">). </w:t>
            </w:r>
          </w:p>
          <w:p w14:paraId="099F3654" w14:textId="77777777" w:rsidR="001F3BB5" w:rsidRDefault="001F3BB5" w:rsidP="00825DD4">
            <w:pPr>
              <w:pStyle w:val="ListParagraph"/>
              <w:numPr>
                <w:ilvl w:val="0"/>
                <w:numId w:val="15"/>
              </w:numPr>
              <w:ind w:left="329" w:hanging="283"/>
            </w:pPr>
            <w:r>
              <w:t>To what extent do the AME step ups make (initial) sense?</w:t>
            </w:r>
          </w:p>
          <w:p w14:paraId="3BF3F8C7" w14:textId="77777777" w:rsidR="00825DD4" w:rsidRDefault="001F3BB5" w:rsidP="00825DD4">
            <w:pPr>
              <w:pStyle w:val="ListParagraph"/>
              <w:numPr>
                <w:ilvl w:val="0"/>
                <w:numId w:val="15"/>
              </w:numPr>
              <w:ind w:left="329" w:hanging="283"/>
            </w:pPr>
            <w:r>
              <w:t xml:space="preserve">To what extent do the Explanatory Notes add understanding of the criteria? </w:t>
            </w:r>
            <w:r w:rsidR="00825DD4">
              <w:t xml:space="preserve"> </w:t>
            </w:r>
          </w:p>
          <w:p w14:paraId="199BAFFB" w14:textId="77777777" w:rsidR="005300D0" w:rsidRDefault="001F3BB5" w:rsidP="001F3BB5">
            <w:pPr>
              <w:pStyle w:val="ListParagraph"/>
              <w:numPr>
                <w:ilvl w:val="0"/>
                <w:numId w:val="15"/>
              </w:numPr>
              <w:ind w:left="329" w:hanging="283"/>
            </w:pPr>
            <w:r>
              <w:t xml:space="preserve">To what extent do the sample assessment tasks illustrate the broad scope of what is possible with the internally assessed standards? How can you see you would adapt these for learners in your school? </w:t>
            </w:r>
          </w:p>
          <w:p w14:paraId="04BAE0D1" w14:textId="6A245C8D" w:rsidR="005300D0" w:rsidRDefault="00D515A7" w:rsidP="001F3BB5">
            <w:pPr>
              <w:pStyle w:val="ListParagraph"/>
              <w:numPr>
                <w:ilvl w:val="0"/>
                <w:numId w:val="15"/>
              </w:numPr>
              <w:ind w:left="329" w:hanging="283"/>
            </w:pPr>
            <w:r w:rsidRPr="001F3BB5">
              <w:rPr>
                <w:b/>
              </w:rPr>
              <w:t>Externals:</w:t>
            </w:r>
            <w:r>
              <w:t xml:space="preserve"> </w:t>
            </w:r>
            <w:r w:rsidR="005300D0">
              <w:t>What are the implications for learning programme design if there is a mid</w:t>
            </w:r>
            <w:r w:rsidR="00474F70">
              <w:t>-</w:t>
            </w:r>
            <w:r w:rsidR="005300D0">
              <w:t>year CAA (Common Assessment Activity 1.3) and an end of year report (1.4)</w:t>
            </w:r>
            <w:r w:rsidR="00474F70">
              <w:t>?</w:t>
            </w:r>
            <w:r w:rsidR="005300D0">
              <w:t xml:space="preserve"> </w:t>
            </w:r>
          </w:p>
        </w:tc>
      </w:tr>
      <w:tr w:rsidR="00826FA2" w:rsidRPr="00826FA2" w14:paraId="544132A6" w14:textId="77777777" w:rsidTr="00855FCD">
        <w:tc>
          <w:tcPr>
            <w:tcW w:w="5228" w:type="dxa"/>
            <w:shd w:val="clear" w:color="auto" w:fill="FFD9D9"/>
          </w:tcPr>
          <w:p w14:paraId="504859B8" w14:textId="77777777" w:rsidR="00826FA2" w:rsidRPr="00826FA2" w:rsidRDefault="00826FA2" w:rsidP="00105833">
            <w:pPr>
              <w:rPr>
                <w:sz w:val="28"/>
                <w:szCs w:val="28"/>
              </w:rPr>
            </w:pPr>
            <w:r w:rsidRPr="00826FA2">
              <w:rPr>
                <w:sz w:val="28"/>
                <w:szCs w:val="28"/>
              </w:rPr>
              <w:lastRenderedPageBreak/>
              <w:t>Mana ōrite mo te mātauranga Māori</w:t>
            </w:r>
            <w:r w:rsidR="00C41B83">
              <w:rPr>
                <w:sz w:val="28"/>
                <w:szCs w:val="28"/>
              </w:rPr>
              <w:t xml:space="preserve"> </w:t>
            </w:r>
          </w:p>
        </w:tc>
        <w:tc>
          <w:tcPr>
            <w:tcW w:w="5228" w:type="dxa"/>
            <w:shd w:val="clear" w:color="auto" w:fill="FFD9D9"/>
          </w:tcPr>
          <w:p w14:paraId="02A6CE33" w14:textId="77777777" w:rsidR="00826FA2" w:rsidRPr="00826FA2" w:rsidRDefault="00826FA2">
            <w:pPr>
              <w:rPr>
                <w:sz w:val="28"/>
                <w:szCs w:val="28"/>
              </w:rPr>
            </w:pPr>
          </w:p>
        </w:tc>
      </w:tr>
      <w:tr w:rsidR="00826FA2" w14:paraId="0A696000" w14:textId="77777777" w:rsidTr="00661228">
        <w:tc>
          <w:tcPr>
            <w:tcW w:w="5228" w:type="dxa"/>
          </w:tcPr>
          <w:p w14:paraId="6440E604" w14:textId="77777777" w:rsidR="005300D0" w:rsidRDefault="00D515A7" w:rsidP="00825DD4">
            <w:r>
              <w:t>See the NCE</w:t>
            </w:r>
            <w:r w:rsidR="005300D0">
              <w:t xml:space="preserve">A change package statement </w:t>
            </w:r>
            <w:r>
              <w:t xml:space="preserve">now </w:t>
            </w:r>
            <w:r w:rsidR="005300D0">
              <w:t xml:space="preserve">at </w:t>
            </w:r>
            <w:hyperlink r:id="rId10" w:history="1">
              <w:r w:rsidR="005300D0" w:rsidRPr="0063058E">
                <w:rPr>
                  <w:rStyle w:val="Hyperlink"/>
                </w:rPr>
                <w:t>https://ncea.education.govt.nz/change-2-equal-status-matauranga-maori-ncea</w:t>
              </w:r>
            </w:hyperlink>
            <w:r w:rsidR="005300D0">
              <w:t xml:space="preserve"> </w:t>
            </w:r>
          </w:p>
        </w:tc>
        <w:tc>
          <w:tcPr>
            <w:tcW w:w="5228" w:type="dxa"/>
          </w:tcPr>
          <w:p w14:paraId="28C524E3" w14:textId="77777777" w:rsidR="00D515A7" w:rsidRDefault="00D515A7">
            <w:r w:rsidRPr="00D515A7">
              <w:rPr>
                <w:b/>
              </w:rPr>
              <w:t>Thinking whole school curriculum and local community:</w:t>
            </w:r>
            <w:r>
              <w:t xml:space="preserve"> </w:t>
            </w:r>
          </w:p>
          <w:p w14:paraId="2E24CE7D" w14:textId="77777777" w:rsidR="00825DD4" w:rsidRDefault="005300D0" w:rsidP="00825DD4">
            <w:pPr>
              <w:pStyle w:val="ListParagraph"/>
              <w:numPr>
                <w:ilvl w:val="0"/>
                <w:numId w:val="16"/>
              </w:numPr>
              <w:ind w:left="329" w:hanging="283"/>
            </w:pPr>
            <w:r>
              <w:t xml:space="preserve">What do you understand </w:t>
            </w:r>
            <w:r w:rsidR="00D515A7">
              <w:t>to be your school</w:t>
            </w:r>
            <w:r w:rsidR="00825DD4">
              <w:t>’</w:t>
            </w:r>
            <w:r w:rsidR="00D515A7">
              <w:t xml:space="preserve">s </w:t>
            </w:r>
            <w:r w:rsidR="00105833">
              <w:t xml:space="preserve">overall </w:t>
            </w:r>
            <w:r w:rsidR="00D515A7">
              <w:t>approach</w:t>
            </w:r>
            <w:r>
              <w:t xml:space="preserve"> to </w:t>
            </w:r>
            <w:r w:rsidR="00825DD4">
              <w:t>engaging/</w:t>
            </w:r>
            <w:r>
              <w:t>consulting with wh</w:t>
            </w:r>
            <w:r w:rsidR="00D515A7" w:rsidRPr="00825DD4">
              <w:rPr>
                <w:rFonts w:cstheme="minorHAnsi"/>
              </w:rPr>
              <w:t>ā</w:t>
            </w:r>
            <w:r>
              <w:t>nau, hapū and iwi?</w:t>
            </w:r>
            <w:r w:rsidR="00D515A7">
              <w:t xml:space="preserve"> </w:t>
            </w:r>
          </w:p>
          <w:p w14:paraId="551269D3" w14:textId="26FFEFF2" w:rsidR="00826FA2" w:rsidRDefault="00D515A7" w:rsidP="00825DD4">
            <w:pPr>
              <w:pStyle w:val="ListParagraph"/>
              <w:numPr>
                <w:ilvl w:val="0"/>
                <w:numId w:val="16"/>
              </w:numPr>
              <w:ind w:left="329" w:hanging="283"/>
            </w:pPr>
            <w:r>
              <w:t>And in particular, how does your school engage with wh</w:t>
            </w:r>
            <w:r w:rsidRPr="00825DD4">
              <w:rPr>
                <w:rFonts w:cstheme="minorHAnsi"/>
              </w:rPr>
              <w:t>ā</w:t>
            </w:r>
            <w:r>
              <w:t>nau, hap</w:t>
            </w:r>
            <w:r w:rsidR="00474F70">
              <w:t>ū</w:t>
            </w:r>
            <w:r>
              <w:t xml:space="preserve"> and iwi on curriculum design related matters? How does your HPE department connect with these wider school understandings and practices?</w:t>
            </w:r>
          </w:p>
          <w:p w14:paraId="3E72AA61" w14:textId="77777777" w:rsidR="005300D0" w:rsidRDefault="005300D0" w:rsidP="00825DD4">
            <w:pPr>
              <w:pStyle w:val="ListParagraph"/>
              <w:numPr>
                <w:ilvl w:val="0"/>
                <w:numId w:val="16"/>
              </w:numPr>
              <w:ind w:left="329" w:hanging="283"/>
            </w:pPr>
            <w:r>
              <w:t xml:space="preserve">Does your local iwi have an </w:t>
            </w:r>
            <w:r w:rsidR="00D515A7">
              <w:t>education</w:t>
            </w:r>
            <w:r>
              <w:t xml:space="preserve"> plan with resources and/or </w:t>
            </w:r>
            <w:r w:rsidR="00D515A7">
              <w:t>personnel</w:t>
            </w:r>
            <w:r>
              <w:t xml:space="preserve"> who can support schools develop their local curriculum? </w:t>
            </w:r>
          </w:p>
          <w:p w14:paraId="4FFF2633" w14:textId="77777777" w:rsidR="00D515A7" w:rsidRDefault="00D515A7" w:rsidP="00105833">
            <w:pPr>
              <w:pStyle w:val="ListParagraph"/>
              <w:numPr>
                <w:ilvl w:val="0"/>
                <w:numId w:val="16"/>
              </w:numPr>
              <w:ind w:left="329" w:hanging="283"/>
            </w:pPr>
            <w:r w:rsidRPr="00105833">
              <w:rPr>
                <w:b/>
              </w:rPr>
              <w:t>Given the sensitivity of some HE(HE) material and the ‘closeness’ of it to people’s personal experiences of the world and identity, as well as the often localised nature of the sort of knowledge we are interested in in this aspect of the curriculum,</w:t>
            </w:r>
            <w:r>
              <w:t xml:space="preserve"> what conversations have you had </w:t>
            </w:r>
            <w:r w:rsidR="00C41B83">
              <w:t xml:space="preserve">(or </w:t>
            </w:r>
            <w:r w:rsidR="00105833">
              <w:t xml:space="preserve">do you </w:t>
            </w:r>
            <w:r w:rsidR="00C41B83">
              <w:t xml:space="preserve">need to have) </w:t>
            </w:r>
            <w:r>
              <w:t>with wh</w:t>
            </w:r>
            <w:r w:rsidRPr="00825DD4">
              <w:rPr>
                <w:rFonts w:cstheme="minorHAnsi"/>
              </w:rPr>
              <w:t>ā</w:t>
            </w:r>
            <w:r>
              <w:t xml:space="preserve">nau and local </w:t>
            </w:r>
            <w:r w:rsidR="00105833">
              <w:t>iwi</w:t>
            </w:r>
            <w:r>
              <w:t>, around permission and authority to access and use such knowledge</w:t>
            </w:r>
            <w:r w:rsidR="00C41B83">
              <w:t>? A</w:t>
            </w:r>
            <w:r>
              <w:t xml:space="preserve">t what point might you be deemed to be (mis)appropriating mātauranga Māori? </w:t>
            </w:r>
            <w:r w:rsidR="00C41B83">
              <w:t>What local meaning is given to the many mātauranga M</w:t>
            </w:r>
            <w:r w:rsidR="00C41B83">
              <w:rPr>
                <w:rFonts w:cstheme="minorHAnsi"/>
              </w:rPr>
              <w:t>ā</w:t>
            </w:r>
            <w:r w:rsidR="00C41B83">
              <w:t>ori ideas we might want to include in HE(HE) programmes? What knowledge (and interpretation of M</w:t>
            </w:r>
            <w:r w:rsidR="00C41B83">
              <w:rPr>
                <w:rFonts w:cstheme="minorHAnsi"/>
              </w:rPr>
              <w:t>ā</w:t>
            </w:r>
            <w:r w:rsidR="00C41B83">
              <w:t>ori knowledge) do wh</w:t>
            </w:r>
            <w:r w:rsidR="00C41B83">
              <w:rPr>
                <w:rFonts w:cstheme="minorHAnsi"/>
              </w:rPr>
              <w:t>ā</w:t>
            </w:r>
            <w:r w:rsidR="00C41B83">
              <w:t xml:space="preserve">nau want their rangatahi taught?   </w:t>
            </w:r>
          </w:p>
        </w:tc>
      </w:tr>
      <w:tr w:rsidR="00826FA2" w:rsidRPr="00826FA2" w14:paraId="07793E91" w14:textId="77777777" w:rsidTr="00855FCD">
        <w:tc>
          <w:tcPr>
            <w:tcW w:w="5228" w:type="dxa"/>
            <w:shd w:val="clear" w:color="auto" w:fill="FFD9D9"/>
          </w:tcPr>
          <w:p w14:paraId="0794A1F1" w14:textId="77777777" w:rsidR="00826FA2" w:rsidRPr="00826FA2" w:rsidRDefault="00C41B83" w:rsidP="00C41B83">
            <w:pPr>
              <w:rPr>
                <w:sz w:val="28"/>
                <w:szCs w:val="28"/>
              </w:rPr>
            </w:pPr>
            <w:r>
              <w:rPr>
                <w:sz w:val="28"/>
                <w:szCs w:val="28"/>
              </w:rPr>
              <w:t xml:space="preserve">… and </w:t>
            </w:r>
            <w:r w:rsidRPr="00826FA2">
              <w:rPr>
                <w:sz w:val="28"/>
                <w:szCs w:val="28"/>
              </w:rPr>
              <w:t>considerations</w:t>
            </w:r>
            <w:r>
              <w:rPr>
                <w:sz w:val="28"/>
                <w:szCs w:val="28"/>
              </w:rPr>
              <w:t xml:space="preserve"> for the b</w:t>
            </w:r>
            <w:r w:rsidR="00826FA2" w:rsidRPr="00826FA2">
              <w:rPr>
                <w:sz w:val="28"/>
                <w:szCs w:val="28"/>
              </w:rPr>
              <w:t xml:space="preserve">iennial </w:t>
            </w:r>
            <w:r>
              <w:rPr>
                <w:sz w:val="28"/>
                <w:szCs w:val="28"/>
              </w:rPr>
              <w:t xml:space="preserve">health education </w:t>
            </w:r>
            <w:r w:rsidR="00826FA2" w:rsidRPr="00826FA2">
              <w:rPr>
                <w:sz w:val="28"/>
                <w:szCs w:val="28"/>
              </w:rPr>
              <w:t xml:space="preserve">community consultation </w:t>
            </w:r>
          </w:p>
        </w:tc>
        <w:tc>
          <w:tcPr>
            <w:tcW w:w="5228" w:type="dxa"/>
            <w:shd w:val="clear" w:color="auto" w:fill="FFD9D9"/>
          </w:tcPr>
          <w:p w14:paraId="6C154808" w14:textId="77777777" w:rsidR="00826FA2" w:rsidRPr="00826FA2" w:rsidRDefault="00826FA2">
            <w:pPr>
              <w:rPr>
                <w:sz w:val="28"/>
                <w:szCs w:val="28"/>
              </w:rPr>
            </w:pPr>
          </w:p>
        </w:tc>
      </w:tr>
      <w:tr w:rsidR="00826FA2" w14:paraId="6AD609E8" w14:textId="77777777" w:rsidTr="00661228">
        <w:tc>
          <w:tcPr>
            <w:tcW w:w="5228" w:type="dxa"/>
          </w:tcPr>
          <w:p w14:paraId="5161E444" w14:textId="77777777" w:rsidR="00826FA2" w:rsidRDefault="00C41B83">
            <w:r>
              <w:t xml:space="preserve">Remember that your health education programme – regardless of how it is included in the design of your school curriculum - must be consulted on every two years. </w:t>
            </w:r>
          </w:p>
          <w:p w14:paraId="337EE942" w14:textId="77777777" w:rsidR="00C41B83" w:rsidRDefault="00C41B83"/>
          <w:p w14:paraId="26C759AD" w14:textId="77777777" w:rsidR="00C41B83" w:rsidRDefault="00C41B83">
            <w:r>
              <w:t xml:space="preserve">See </w:t>
            </w:r>
            <w:hyperlink r:id="rId11" w:history="1">
              <w:r w:rsidRPr="0063058E">
                <w:rPr>
                  <w:rStyle w:val="Hyperlink"/>
                </w:rPr>
                <w:t>https://www.tuturu.org.nz/healthconsultation/</w:t>
              </w:r>
            </w:hyperlink>
            <w:r>
              <w:t xml:space="preserve"> </w:t>
            </w:r>
          </w:p>
        </w:tc>
        <w:tc>
          <w:tcPr>
            <w:tcW w:w="5228" w:type="dxa"/>
          </w:tcPr>
          <w:p w14:paraId="48C80D60" w14:textId="77777777" w:rsidR="00C41B83" w:rsidRDefault="00C41B83" w:rsidP="00C41B83">
            <w:r w:rsidRPr="00C41B83">
              <w:rPr>
                <w:b/>
              </w:rPr>
              <w:t>Thinking about the mātauranga Māori considerations above</w:t>
            </w:r>
            <w:r>
              <w:rPr>
                <w:b/>
              </w:rPr>
              <w:t>:</w:t>
            </w:r>
            <w:r>
              <w:t xml:space="preserve"> </w:t>
            </w:r>
          </w:p>
          <w:p w14:paraId="3DB5F950" w14:textId="77777777" w:rsidR="00826FA2" w:rsidRDefault="00C41B83" w:rsidP="00C41B83">
            <w:pPr>
              <w:pStyle w:val="ListParagraph"/>
              <w:numPr>
                <w:ilvl w:val="0"/>
                <w:numId w:val="17"/>
              </w:numPr>
              <w:ind w:left="329" w:hanging="329"/>
            </w:pPr>
            <w:r>
              <w:t xml:space="preserve">What will be included in your </w:t>
            </w:r>
            <w:r w:rsidRPr="00C41B83">
              <w:rPr>
                <w:b/>
              </w:rPr>
              <w:t>d</w:t>
            </w:r>
            <w:r w:rsidR="00826FA2" w:rsidRPr="00C41B83">
              <w:rPr>
                <w:b/>
              </w:rPr>
              <w:t>elivery statement</w:t>
            </w:r>
            <w:r w:rsidRPr="00C41B83">
              <w:rPr>
                <w:b/>
              </w:rPr>
              <w:t xml:space="preserve"> </w:t>
            </w:r>
            <w:r>
              <w:t xml:space="preserve">and </w:t>
            </w:r>
            <w:r w:rsidRPr="00C41B83">
              <w:rPr>
                <w:b/>
              </w:rPr>
              <w:t>p</w:t>
            </w:r>
            <w:r w:rsidR="00826FA2" w:rsidRPr="00C41B83">
              <w:rPr>
                <w:b/>
              </w:rPr>
              <w:t>rogramme overview</w:t>
            </w:r>
            <w:r w:rsidR="00826FA2">
              <w:t xml:space="preserve"> </w:t>
            </w:r>
            <w:r>
              <w:t>(</w:t>
            </w:r>
            <w:r w:rsidRPr="00C41B83">
              <w:rPr>
                <w:i/>
              </w:rPr>
              <w:t>ie the material that is the basis for the consultation</w:t>
            </w:r>
            <w:r>
              <w:t>) about the way mātauranga Māori is to be included across your learning programme (including your NCEA Level 1 assessed course)?</w:t>
            </w:r>
          </w:p>
          <w:p w14:paraId="092A38F3" w14:textId="77777777" w:rsidR="00C41B83" w:rsidRDefault="00C41B83" w:rsidP="00C41B83">
            <w:pPr>
              <w:pStyle w:val="ListParagraph"/>
              <w:numPr>
                <w:ilvl w:val="0"/>
                <w:numId w:val="17"/>
              </w:numPr>
              <w:ind w:left="329" w:hanging="329"/>
            </w:pPr>
            <w:r>
              <w:t>How will the consultation</w:t>
            </w:r>
            <w:r w:rsidR="00C572CF">
              <w:t xml:space="preserve"> process</w:t>
            </w:r>
            <w:r>
              <w:t xml:space="preserve"> be (culturally) responsive to wh</w:t>
            </w:r>
            <w:r w:rsidRPr="00C41B83">
              <w:rPr>
                <w:rFonts w:cstheme="minorHAnsi"/>
              </w:rPr>
              <w:t>ā</w:t>
            </w:r>
            <w:r>
              <w:t xml:space="preserve">nau? </w:t>
            </w:r>
          </w:p>
          <w:p w14:paraId="33D76F4F" w14:textId="77777777" w:rsidR="00826FA2" w:rsidRDefault="00826FA2"/>
        </w:tc>
      </w:tr>
    </w:tbl>
    <w:p w14:paraId="3046EBD0" w14:textId="77777777" w:rsidR="00661228" w:rsidRDefault="00661228"/>
    <w:p w14:paraId="2BD15F02" w14:textId="77777777" w:rsidR="00661228" w:rsidRDefault="00661228">
      <w:r>
        <w:br w:type="page"/>
      </w:r>
    </w:p>
    <w:p w14:paraId="1A369E67" w14:textId="77777777" w:rsidR="00C572CF" w:rsidRPr="00C572CF" w:rsidRDefault="00C572CF">
      <w:pPr>
        <w:rPr>
          <w:sz w:val="28"/>
          <w:szCs w:val="28"/>
        </w:rPr>
      </w:pPr>
      <w:r w:rsidRPr="00C572CF">
        <w:rPr>
          <w:b/>
          <w:sz w:val="28"/>
          <w:szCs w:val="28"/>
        </w:rPr>
        <w:lastRenderedPageBreak/>
        <w:t>What we are moving away from</w:t>
      </w:r>
      <w:r w:rsidRPr="00C572CF">
        <w:rPr>
          <w:sz w:val="28"/>
          <w:szCs w:val="28"/>
        </w:rPr>
        <w:t xml:space="preserve"> …. Assessing the underlying concepts repeatedly across several prescribed contexts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1174"/>
        <w:gridCol w:w="1175"/>
        <w:gridCol w:w="1174"/>
        <w:gridCol w:w="1175"/>
      </w:tblGrid>
      <w:tr w:rsidR="00C572CF" w:rsidRPr="00C572CF" w14:paraId="1476FA49" w14:textId="77777777" w:rsidTr="00C572CF">
        <w:trPr>
          <w:cantSplit/>
          <w:tblHeader/>
        </w:trPr>
        <w:tc>
          <w:tcPr>
            <w:tcW w:w="5645" w:type="dxa"/>
            <w:shd w:val="clear" w:color="auto" w:fill="BDD6EE" w:themeFill="accent1" w:themeFillTint="66"/>
          </w:tcPr>
          <w:p w14:paraId="3C67A49E" w14:textId="77777777" w:rsidR="00C572CF" w:rsidRPr="00C572CF" w:rsidRDefault="00C572CF" w:rsidP="00C572CF">
            <w:pPr>
              <w:spacing w:after="0" w:line="240" w:lineRule="auto"/>
              <w:jc w:val="center"/>
              <w:rPr>
                <w:rFonts w:cstheme="minorHAnsi"/>
              </w:rPr>
            </w:pPr>
            <w:r w:rsidRPr="00C572CF">
              <w:rPr>
                <w:rFonts w:cstheme="minorHAnsi"/>
                <w:b/>
                <w:bCs/>
              </w:rPr>
              <w:t>Level 1</w:t>
            </w:r>
          </w:p>
        </w:tc>
        <w:tc>
          <w:tcPr>
            <w:tcW w:w="1174" w:type="dxa"/>
            <w:shd w:val="clear" w:color="auto" w:fill="BDD6EE" w:themeFill="accent1" w:themeFillTint="66"/>
          </w:tcPr>
          <w:p w14:paraId="6F231B03" w14:textId="77777777" w:rsidR="00C572CF" w:rsidRPr="00C572CF" w:rsidRDefault="00C572CF" w:rsidP="00C572CF">
            <w:pPr>
              <w:spacing w:after="0" w:line="240" w:lineRule="auto"/>
              <w:jc w:val="center"/>
              <w:rPr>
                <w:rFonts w:cstheme="minorHAnsi"/>
                <w:b/>
                <w:bCs/>
                <w:sz w:val="18"/>
                <w:szCs w:val="18"/>
              </w:rPr>
            </w:pPr>
            <w:r>
              <w:rPr>
                <w:rFonts w:cstheme="minorHAnsi"/>
                <w:b/>
                <w:bCs/>
                <w:sz w:val="18"/>
                <w:szCs w:val="18"/>
              </w:rPr>
              <w:t>Hauora</w:t>
            </w:r>
          </w:p>
        </w:tc>
        <w:tc>
          <w:tcPr>
            <w:tcW w:w="1175" w:type="dxa"/>
            <w:shd w:val="clear" w:color="auto" w:fill="BDD6EE" w:themeFill="accent1" w:themeFillTint="66"/>
          </w:tcPr>
          <w:p w14:paraId="30D02539" w14:textId="77777777" w:rsidR="00C572CF" w:rsidRPr="00C572CF" w:rsidRDefault="00C572CF" w:rsidP="00C572CF">
            <w:pPr>
              <w:spacing w:after="0" w:line="240" w:lineRule="auto"/>
              <w:jc w:val="center"/>
              <w:rPr>
                <w:rFonts w:cstheme="minorHAnsi"/>
                <w:b/>
                <w:bCs/>
                <w:sz w:val="18"/>
                <w:szCs w:val="18"/>
              </w:rPr>
            </w:pPr>
            <w:r>
              <w:rPr>
                <w:rFonts w:cstheme="minorHAnsi"/>
                <w:b/>
                <w:bCs/>
                <w:sz w:val="18"/>
                <w:szCs w:val="18"/>
              </w:rPr>
              <w:t xml:space="preserve">Socio-ecological perspective </w:t>
            </w:r>
          </w:p>
        </w:tc>
        <w:tc>
          <w:tcPr>
            <w:tcW w:w="1174" w:type="dxa"/>
            <w:shd w:val="clear" w:color="auto" w:fill="BDD6EE" w:themeFill="accent1" w:themeFillTint="66"/>
          </w:tcPr>
          <w:p w14:paraId="3C30BB2C" w14:textId="77777777" w:rsidR="00C572CF" w:rsidRPr="00C572CF" w:rsidRDefault="00C572CF" w:rsidP="00C572CF">
            <w:pPr>
              <w:spacing w:after="0" w:line="240" w:lineRule="auto"/>
              <w:jc w:val="center"/>
              <w:rPr>
                <w:rFonts w:cstheme="minorHAnsi"/>
                <w:b/>
                <w:bCs/>
                <w:sz w:val="18"/>
                <w:szCs w:val="18"/>
              </w:rPr>
            </w:pPr>
            <w:r>
              <w:rPr>
                <w:rFonts w:cstheme="minorHAnsi"/>
                <w:b/>
                <w:bCs/>
                <w:sz w:val="18"/>
                <w:szCs w:val="18"/>
              </w:rPr>
              <w:t>Health Promotion</w:t>
            </w:r>
          </w:p>
        </w:tc>
        <w:tc>
          <w:tcPr>
            <w:tcW w:w="1175" w:type="dxa"/>
            <w:shd w:val="clear" w:color="auto" w:fill="BDD6EE" w:themeFill="accent1" w:themeFillTint="66"/>
          </w:tcPr>
          <w:p w14:paraId="34895B0E" w14:textId="77777777" w:rsidR="00C572CF" w:rsidRPr="00C572CF" w:rsidRDefault="00C572CF" w:rsidP="00C572CF">
            <w:pPr>
              <w:spacing w:after="0" w:line="240" w:lineRule="auto"/>
              <w:jc w:val="center"/>
              <w:rPr>
                <w:rFonts w:cstheme="minorHAnsi"/>
                <w:b/>
                <w:bCs/>
                <w:sz w:val="18"/>
                <w:szCs w:val="18"/>
              </w:rPr>
            </w:pPr>
            <w:r>
              <w:rPr>
                <w:rFonts w:cstheme="minorHAnsi"/>
                <w:b/>
                <w:bCs/>
                <w:sz w:val="18"/>
                <w:szCs w:val="18"/>
              </w:rPr>
              <w:t xml:space="preserve">Attitudes and values </w:t>
            </w:r>
          </w:p>
        </w:tc>
      </w:tr>
      <w:tr w:rsidR="00C572CF" w:rsidRPr="00C572CF" w14:paraId="5FE46318" w14:textId="77777777" w:rsidTr="00C572CF">
        <w:trPr>
          <w:cantSplit/>
        </w:trPr>
        <w:tc>
          <w:tcPr>
            <w:tcW w:w="5645" w:type="dxa"/>
          </w:tcPr>
          <w:p w14:paraId="336C7FF6" w14:textId="77777777" w:rsidR="00C572CF" w:rsidRPr="00C572CF" w:rsidRDefault="00C572CF" w:rsidP="00C572CF">
            <w:pPr>
              <w:spacing w:after="0" w:line="240" w:lineRule="auto"/>
              <w:rPr>
                <w:rFonts w:cstheme="minorHAnsi"/>
                <w:b/>
              </w:rPr>
            </w:pPr>
            <w:r w:rsidRPr="00C572CF">
              <w:rPr>
                <w:rFonts w:cstheme="minorHAnsi"/>
              </w:rPr>
              <w:t xml:space="preserve">AS90971                                               </w:t>
            </w:r>
            <w:r w:rsidRPr="00C572CF">
              <w:rPr>
                <w:rFonts w:cstheme="minorHAnsi"/>
                <w:b/>
              </w:rPr>
              <w:t>1.1</w:t>
            </w:r>
          </w:p>
          <w:p w14:paraId="6475D81B" w14:textId="77777777" w:rsidR="00C572CF" w:rsidRPr="00C572CF" w:rsidRDefault="00C572CF" w:rsidP="00C572CF">
            <w:pPr>
              <w:spacing w:after="0" w:line="240" w:lineRule="auto"/>
              <w:rPr>
                <w:rFonts w:cstheme="minorHAnsi"/>
              </w:rPr>
            </w:pPr>
            <w:r w:rsidRPr="00C572CF">
              <w:rPr>
                <w:rFonts w:cstheme="minorHAnsi"/>
              </w:rPr>
              <w:t>Take action to enhance an</w:t>
            </w:r>
            <w:r>
              <w:rPr>
                <w:rFonts w:cstheme="minorHAnsi"/>
              </w:rPr>
              <w:t xml:space="preserve"> aspect of personal well-being.</w:t>
            </w:r>
          </w:p>
          <w:p w14:paraId="17F0788D" w14:textId="77777777" w:rsidR="00C572CF" w:rsidRPr="00C572CF" w:rsidRDefault="00C572CF" w:rsidP="00C572CF">
            <w:pPr>
              <w:tabs>
                <w:tab w:val="left" w:pos="3600"/>
              </w:tabs>
              <w:spacing w:after="0" w:line="240" w:lineRule="auto"/>
              <w:rPr>
                <w:rFonts w:cstheme="minorHAnsi"/>
              </w:rPr>
            </w:pPr>
            <w:r w:rsidRPr="00C572CF">
              <w:rPr>
                <w:rFonts w:cstheme="minorHAnsi"/>
              </w:rPr>
              <w:t>3 credits</w:t>
            </w:r>
            <w:r>
              <w:rPr>
                <w:rFonts w:cstheme="minorHAnsi"/>
              </w:rPr>
              <w:t xml:space="preserve">, </w:t>
            </w:r>
            <w:r w:rsidRPr="00C572CF">
              <w:rPr>
                <w:rFonts w:cstheme="minorHAnsi"/>
              </w:rPr>
              <w:t>Internal</w:t>
            </w:r>
          </w:p>
        </w:tc>
        <w:tc>
          <w:tcPr>
            <w:tcW w:w="1174" w:type="dxa"/>
          </w:tcPr>
          <w:p w14:paraId="7F4D6C8C"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584A20F5" w14:textId="77777777" w:rsidR="00C572CF" w:rsidRPr="00C572CF" w:rsidRDefault="00C572CF" w:rsidP="00C572CF">
            <w:pPr>
              <w:spacing w:after="0" w:line="240" w:lineRule="auto"/>
              <w:jc w:val="center"/>
              <w:rPr>
                <w:rFonts w:cstheme="minorHAnsi"/>
                <w:sz w:val="40"/>
                <w:szCs w:val="40"/>
              </w:rPr>
            </w:pPr>
          </w:p>
        </w:tc>
        <w:tc>
          <w:tcPr>
            <w:tcW w:w="1174" w:type="dxa"/>
          </w:tcPr>
          <w:p w14:paraId="2EDF38A3"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448C92B1" w14:textId="77777777" w:rsidR="00C572CF" w:rsidRPr="00C572CF" w:rsidRDefault="00C572CF" w:rsidP="00C572CF">
            <w:pPr>
              <w:spacing w:after="0" w:line="240" w:lineRule="auto"/>
              <w:jc w:val="center"/>
              <w:rPr>
                <w:rFonts w:cstheme="minorHAnsi"/>
                <w:sz w:val="40"/>
                <w:szCs w:val="40"/>
              </w:rPr>
            </w:pPr>
            <w:r>
              <w:rPr>
                <w:rFonts w:cstheme="minorHAnsi"/>
                <w:sz w:val="40"/>
                <w:szCs w:val="40"/>
              </w:rPr>
              <w:t>(</w:t>
            </w:r>
            <w:r w:rsidRPr="00C572CF">
              <w:rPr>
                <w:rFonts w:cstheme="minorHAnsi"/>
                <w:sz w:val="40"/>
                <w:szCs w:val="40"/>
              </w:rPr>
              <w:sym w:font="Wingdings" w:char="F0FC"/>
            </w:r>
            <w:r>
              <w:rPr>
                <w:rFonts w:cstheme="minorHAnsi"/>
                <w:sz w:val="40"/>
                <w:szCs w:val="40"/>
              </w:rPr>
              <w:t>)</w:t>
            </w:r>
          </w:p>
        </w:tc>
      </w:tr>
      <w:tr w:rsidR="00C572CF" w:rsidRPr="00C572CF" w14:paraId="46A78412" w14:textId="77777777" w:rsidTr="00C572CF">
        <w:trPr>
          <w:cantSplit/>
        </w:trPr>
        <w:tc>
          <w:tcPr>
            <w:tcW w:w="5645" w:type="dxa"/>
          </w:tcPr>
          <w:p w14:paraId="57BA84E8" w14:textId="77777777" w:rsidR="00C572CF" w:rsidRPr="00C572CF" w:rsidRDefault="00C572CF" w:rsidP="00C572CF">
            <w:pPr>
              <w:spacing w:after="0" w:line="240" w:lineRule="auto"/>
              <w:rPr>
                <w:rFonts w:cstheme="minorHAnsi"/>
                <w:b/>
              </w:rPr>
            </w:pPr>
            <w:r w:rsidRPr="00C572CF">
              <w:rPr>
                <w:rFonts w:cstheme="minorHAnsi"/>
              </w:rPr>
              <w:t xml:space="preserve">AS90972                                               </w:t>
            </w:r>
            <w:r w:rsidRPr="00C572CF">
              <w:rPr>
                <w:rFonts w:cstheme="minorHAnsi"/>
                <w:b/>
              </w:rPr>
              <w:t>1.2</w:t>
            </w:r>
          </w:p>
          <w:p w14:paraId="2989956B" w14:textId="77777777" w:rsidR="00C572CF" w:rsidRPr="00C572CF" w:rsidRDefault="00C572CF" w:rsidP="00C572CF">
            <w:pPr>
              <w:spacing w:after="0" w:line="240" w:lineRule="auto"/>
              <w:rPr>
                <w:rFonts w:cstheme="minorHAnsi"/>
              </w:rPr>
            </w:pPr>
            <w:r w:rsidRPr="00C572CF">
              <w:rPr>
                <w:rFonts w:cstheme="minorHAnsi"/>
              </w:rPr>
              <w:t>Demonstrate understanding of influences on adolescent eating patterns to make he</w:t>
            </w:r>
            <w:r>
              <w:rPr>
                <w:rFonts w:cstheme="minorHAnsi"/>
              </w:rPr>
              <w:t>alth-enhancing recommendations.</w:t>
            </w:r>
          </w:p>
          <w:p w14:paraId="1E35FB3F" w14:textId="77777777" w:rsidR="00C572CF" w:rsidRPr="00C572CF" w:rsidRDefault="00C572CF" w:rsidP="00C572CF">
            <w:pPr>
              <w:tabs>
                <w:tab w:val="left" w:pos="3600"/>
              </w:tabs>
              <w:spacing w:after="0" w:line="240" w:lineRule="auto"/>
              <w:rPr>
                <w:rFonts w:cstheme="minorHAnsi"/>
              </w:rPr>
            </w:pPr>
            <w:r w:rsidRPr="00C572CF">
              <w:rPr>
                <w:rFonts w:cstheme="minorHAnsi"/>
              </w:rPr>
              <w:t>4 credits</w:t>
            </w:r>
            <w:r>
              <w:rPr>
                <w:rFonts w:cstheme="minorHAnsi"/>
              </w:rPr>
              <w:t xml:space="preserve">, </w:t>
            </w:r>
            <w:r w:rsidRPr="00C572CF">
              <w:rPr>
                <w:rFonts w:cstheme="minorHAnsi"/>
              </w:rPr>
              <w:t>External</w:t>
            </w:r>
          </w:p>
        </w:tc>
        <w:tc>
          <w:tcPr>
            <w:tcW w:w="1174" w:type="dxa"/>
          </w:tcPr>
          <w:p w14:paraId="17F45D68"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14B01721"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4" w:type="dxa"/>
          </w:tcPr>
          <w:p w14:paraId="4274173E"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7AAC7F96" w14:textId="77777777" w:rsidR="00C572CF" w:rsidRPr="00C572CF" w:rsidRDefault="00C572CF" w:rsidP="00C572CF">
            <w:pPr>
              <w:spacing w:after="0" w:line="240" w:lineRule="auto"/>
              <w:jc w:val="center"/>
              <w:rPr>
                <w:rFonts w:cstheme="minorHAnsi"/>
                <w:sz w:val="40"/>
                <w:szCs w:val="40"/>
              </w:rPr>
            </w:pPr>
            <w:r>
              <w:rPr>
                <w:rFonts w:cstheme="minorHAnsi"/>
                <w:sz w:val="40"/>
                <w:szCs w:val="40"/>
              </w:rPr>
              <w:t>(</w:t>
            </w:r>
            <w:r w:rsidRPr="00C572CF">
              <w:rPr>
                <w:rFonts w:cstheme="minorHAnsi"/>
                <w:sz w:val="40"/>
                <w:szCs w:val="40"/>
              </w:rPr>
              <w:sym w:font="Wingdings" w:char="F0FC"/>
            </w:r>
            <w:r>
              <w:rPr>
                <w:rFonts w:cstheme="minorHAnsi"/>
                <w:sz w:val="40"/>
                <w:szCs w:val="40"/>
              </w:rPr>
              <w:t>)</w:t>
            </w:r>
          </w:p>
        </w:tc>
      </w:tr>
      <w:tr w:rsidR="00C572CF" w:rsidRPr="00C572CF" w14:paraId="28CACBDF" w14:textId="77777777" w:rsidTr="00C572CF">
        <w:trPr>
          <w:cantSplit/>
        </w:trPr>
        <w:tc>
          <w:tcPr>
            <w:tcW w:w="5645" w:type="dxa"/>
          </w:tcPr>
          <w:p w14:paraId="238273A4" w14:textId="77777777" w:rsidR="00C572CF" w:rsidRPr="00C572CF" w:rsidRDefault="00C572CF" w:rsidP="00C572CF">
            <w:pPr>
              <w:spacing w:after="0" w:line="240" w:lineRule="auto"/>
              <w:rPr>
                <w:rFonts w:cstheme="minorHAnsi"/>
                <w:b/>
              </w:rPr>
            </w:pPr>
            <w:r w:rsidRPr="00C572CF">
              <w:rPr>
                <w:rFonts w:cstheme="minorHAnsi"/>
              </w:rPr>
              <w:t xml:space="preserve">AS91097                                               </w:t>
            </w:r>
            <w:r w:rsidRPr="00C572CF">
              <w:rPr>
                <w:rFonts w:cstheme="minorHAnsi"/>
                <w:b/>
              </w:rPr>
              <w:t>1.3</w:t>
            </w:r>
          </w:p>
          <w:p w14:paraId="5E9B30E5" w14:textId="77777777" w:rsidR="00C572CF" w:rsidRPr="00C572CF" w:rsidRDefault="00C572CF" w:rsidP="00C572CF">
            <w:pPr>
              <w:spacing w:after="0" w:line="240" w:lineRule="auto"/>
              <w:rPr>
                <w:rFonts w:cstheme="minorHAnsi"/>
              </w:rPr>
            </w:pPr>
            <w:r w:rsidRPr="00C572CF">
              <w:rPr>
                <w:rFonts w:cstheme="minorHAnsi"/>
                <w:bCs/>
              </w:rPr>
              <w:t xml:space="preserve">Demonstrate understanding of </w:t>
            </w:r>
            <w:r w:rsidRPr="00C572CF">
              <w:rPr>
                <w:rFonts w:cstheme="minorHAnsi"/>
              </w:rPr>
              <w:t>ways in which well-being can change and st</w:t>
            </w:r>
            <w:r>
              <w:rPr>
                <w:rFonts w:cstheme="minorHAnsi"/>
              </w:rPr>
              <w:t>rategies to support well-being.</w:t>
            </w:r>
          </w:p>
          <w:p w14:paraId="02AFA4A0" w14:textId="77777777" w:rsidR="00C572CF" w:rsidRPr="00C572CF" w:rsidRDefault="00C572CF" w:rsidP="00C572CF">
            <w:pPr>
              <w:tabs>
                <w:tab w:val="left" w:pos="3600"/>
              </w:tabs>
              <w:spacing w:after="0" w:line="240" w:lineRule="auto"/>
              <w:rPr>
                <w:rFonts w:cstheme="minorHAnsi"/>
              </w:rPr>
            </w:pPr>
            <w:r w:rsidRPr="00C572CF">
              <w:rPr>
                <w:rFonts w:cstheme="minorHAnsi"/>
              </w:rPr>
              <w:t>4 credits</w:t>
            </w:r>
            <w:r>
              <w:rPr>
                <w:rFonts w:cstheme="minorHAnsi"/>
              </w:rPr>
              <w:t xml:space="preserve">, </w:t>
            </w:r>
            <w:r w:rsidRPr="00C572CF">
              <w:rPr>
                <w:rFonts w:cstheme="minorHAnsi"/>
              </w:rPr>
              <w:t>Internal</w:t>
            </w:r>
          </w:p>
        </w:tc>
        <w:tc>
          <w:tcPr>
            <w:tcW w:w="1174" w:type="dxa"/>
          </w:tcPr>
          <w:p w14:paraId="274B4307"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0D57202A"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4" w:type="dxa"/>
          </w:tcPr>
          <w:p w14:paraId="6279B3B6"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71F03FC1" w14:textId="77777777" w:rsidR="00C572CF" w:rsidRPr="00C572CF" w:rsidRDefault="00C572CF" w:rsidP="00C572CF">
            <w:pPr>
              <w:spacing w:after="0" w:line="240" w:lineRule="auto"/>
              <w:jc w:val="center"/>
              <w:rPr>
                <w:rFonts w:cstheme="minorHAnsi"/>
                <w:sz w:val="40"/>
                <w:szCs w:val="40"/>
              </w:rPr>
            </w:pPr>
            <w:r>
              <w:rPr>
                <w:rFonts w:cstheme="minorHAnsi"/>
                <w:sz w:val="40"/>
                <w:szCs w:val="40"/>
              </w:rPr>
              <w:t>(</w:t>
            </w:r>
            <w:r w:rsidRPr="00C572CF">
              <w:rPr>
                <w:rFonts w:cstheme="minorHAnsi"/>
                <w:sz w:val="40"/>
                <w:szCs w:val="40"/>
              </w:rPr>
              <w:sym w:font="Wingdings" w:char="F0FC"/>
            </w:r>
            <w:r>
              <w:rPr>
                <w:rFonts w:cstheme="minorHAnsi"/>
                <w:sz w:val="40"/>
                <w:szCs w:val="40"/>
              </w:rPr>
              <w:t>)</w:t>
            </w:r>
          </w:p>
        </w:tc>
      </w:tr>
      <w:tr w:rsidR="00C572CF" w:rsidRPr="00C572CF" w14:paraId="010AE098" w14:textId="77777777" w:rsidTr="00C572CF">
        <w:trPr>
          <w:cantSplit/>
        </w:trPr>
        <w:tc>
          <w:tcPr>
            <w:tcW w:w="5645" w:type="dxa"/>
          </w:tcPr>
          <w:p w14:paraId="06FBEE20" w14:textId="77777777" w:rsidR="00C572CF" w:rsidRPr="00C572CF" w:rsidRDefault="00C572CF" w:rsidP="00C572CF">
            <w:pPr>
              <w:spacing w:after="0" w:line="240" w:lineRule="auto"/>
              <w:rPr>
                <w:rFonts w:cstheme="minorHAnsi"/>
                <w:b/>
              </w:rPr>
            </w:pPr>
            <w:r w:rsidRPr="00C572CF">
              <w:rPr>
                <w:rFonts w:cstheme="minorHAnsi"/>
              </w:rPr>
              <w:t xml:space="preserve">AS90973                                               </w:t>
            </w:r>
            <w:r w:rsidRPr="00C572CF">
              <w:rPr>
                <w:rFonts w:cstheme="minorHAnsi"/>
                <w:b/>
              </w:rPr>
              <w:t>1.4</w:t>
            </w:r>
          </w:p>
          <w:p w14:paraId="09EAF960" w14:textId="77777777" w:rsidR="00C572CF" w:rsidRPr="00C572CF" w:rsidRDefault="00C572CF" w:rsidP="00C572CF">
            <w:pPr>
              <w:spacing w:after="0" w:line="240" w:lineRule="auto"/>
              <w:rPr>
                <w:rFonts w:cstheme="minorHAnsi"/>
              </w:rPr>
            </w:pPr>
            <w:r w:rsidRPr="00C572CF">
              <w:rPr>
                <w:rFonts w:cstheme="minorHAnsi"/>
              </w:rPr>
              <w:t>Demonstrate understanding of interpersonal skills</w:t>
            </w:r>
            <w:r>
              <w:rPr>
                <w:rFonts w:cstheme="minorHAnsi"/>
              </w:rPr>
              <w:t xml:space="preserve"> used to enhance relationships.</w:t>
            </w:r>
          </w:p>
          <w:p w14:paraId="166D90C0" w14:textId="77777777" w:rsidR="00C572CF" w:rsidRPr="00C572CF" w:rsidRDefault="00C572CF" w:rsidP="00C572CF">
            <w:pPr>
              <w:tabs>
                <w:tab w:val="left" w:pos="3600"/>
              </w:tabs>
              <w:spacing w:after="0" w:line="240" w:lineRule="auto"/>
              <w:rPr>
                <w:rFonts w:cstheme="minorHAnsi"/>
              </w:rPr>
            </w:pPr>
            <w:r w:rsidRPr="00C572CF">
              <w:rPr>
                <w:rFonts w:cstheme="minorHAnsi"/>
              </w:rPr>
              <w:t>5 credits</w:t>
            </w:r>
            <w:r>
              <w:rPr>
                <w:rFonts w:cstheme="minorHAnsi"/>
              </w:rPr>
              <w:t xml:space="preserve">, </w:t>
            </w:r>
            <w:r w:rsidRPr="00C572CF">
              <w:rPr>
                <w:rFonts w:cstheme="minorHAnsi"/>
              </w:rPr>
              <w:t>Internal</w:t>
            </w:r>
          </w:p>
        </w:tc>
        <w:tc>
          <w:tcPr>
            <w:tcW w:w="1174" w:type="dxa"/>
          </w:tcPr>
          <w:p w14:paraId="0456C40F" w14:textId="77777777" w:rsidR="00C572CF" w:rsidRPr="00C572CF" w:rsidRDefault="00C572CF" w:rsidP="00C572CF">
            <w:pPr>
              <w:spacing w:after="0" w:line="240" w:lineRule="auto"/>
              <w:jc w:val="center"/>
              <w:rPr>
                <w:rFonts w:cstheme="minorHAnsi"/>
                <w:sz w:val="40"/>
                <w:szCs w:val="40"/>
              </w:rPr>
            </w:pPr>
            <w:r>
              <w:rPr>
                <w:rFonts w:cstheme="minorHAnsi"/>
                <w:sz w:val="40"/>
                <w:szCs w:val="40"/>
              </w:rPr>
              <w:t>(</w:t>
            </w:r>
            <w:r w:rsidRPr="00C572CF">
              <w:rPr>
                <w:rFonts w:cstheme="minorHAnsi"/>
                <w:sz w:val="40"/>
                <w:szCs w:val="40"/>
              </w:rPr>
              <w:sym w:font="Wingdings" w:char="F0FC"/>
            </w:r>
            <w:r>
              <w:rPr>
                <w:rFonts w:cstheme="minorHAnsi"/>
                <w:sz w:val="40"/>
                <w:szCs w:val="40"/>
              </w:rPr>
              <w:t>)</w:t>
            </w:r>
          </w:p>
        </w:tc>
        <w:tc>
          <w:tcPr>
            <w:tcW w:w="1175" w:type="dxa"/>
          </w:tcPr>
          <w:p w14:paraId="0FAC30AB" w14:textId="77777777" w:rsidR="00C572CF" w:rsidRPr="00C572CF" w:rsidRDefault="00855FCD" w:rsidP="00C572CF">
            <w:pPr>
              <w:spacing w:after="0" w:line="240" w:lineRule="auto"/>
              <w:jc w:val="center"/>
              <w:rPr>
                <w:rFonts w:cstheme="minorHAnsi"/>
                <w:sz w:val="40"/>
                <w:szCs w:val="40"/>
              </w:rPr>
            </w:pPr>
            <w:r>
              <w:rPr>
                <w:rFonts w:cstheme="minorHAnsi"/>
                <w:sz w:val="40"/>
                <w:szCs w:val="40"/>
              </w:rPr>
              <w:t>(</w:t>
            </w:r>
            <w:r w:rsidRPr="00C572CF">
              <w:rPr>
                <w:rFonts w:cstheme="minorHAnsi"/>
                <w:sz w:val="40"/>
                <w:szCs w:val="40"/>
              </w:rPr>
              <w:sym w:font="Wingdings" w:char="F0FC"/>
            </w:r>
            <w:r>
              <w:rPr>
                <w:rFonts w:cstheme="minorHAnsi"/>
                <w:sz w:val="40"/>
                <w:szCs w:val="40"/>
              </w:rPr>
              <w:t>)</w:t>
            </w:r>
          </w:p>
        </w:tc>
        <w:tc>
          <w:tcPr>
            <w:tcW w:w="1174" w:type="dxa"/>
          </w:tcPr>
          <w:p w14:paraId="5BD3D2F5"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6850DBBD" w14:textId="77777777" w:rsidR="00C572CF" w:rsidRPr="00C572CF" w:rsidRDefault="00C572CF" w:rsidP="00C572CF">
            <w:pPr>
              <w:spacing w:after="0" w:line="240" w:lineRule="auto"/>
              <w:jc w:val="center"/>
              <w:rPr>
                <w:rFonts w:cstheme="minorHAnsi"/>
                <w:sz w:val="40"/>
                <w:szCs w:val="40"/>
              </w:rPr>
            </w:pPr>
            <w:r>
              <w:rPr>
                <w:rFonts w:cstheme="minorHAnsi"/>
                <w:sz w:val="40"/>
                <w:szCs w:val="40"/>
              </w:rPr>
              <w:t>(</w:t>
            </w:r>
            <w:r w:rsidRPr="00C572CF">
              <w:rPr>
                <w:rFonts w:cstheme="minorHAnsi"/>
                <w:sz w:val="40"/>
                <w:szCs w:val="40"/>
              </w:rPr>
              <w:sym w:font="Wingdings" w:char="F0FC"/>
            </w:r>
            <w:r>
              <w:rPr>
                <w:rFonts w:cstheme="minorHAnsi"/>
                <w:sz w:val="40"/>
                <w:szCs w:val="40"/>
              </w:rPr>
              <w:t>)</w:t>
            </w:r>
          </w:p>
        </w:tc>
      </w:tr>
      <w:tr w:rsidR="00C572CF" w:rsidRPr="00C572CF" w14:paraId="0F9358F0" w14:textId="77777777" w:rsidTr="00C572CF">
        <w:trPr>
          <w:cantSplit/>
        </w:trPr>
        <w:tc>
          <w:tcPr>
            <w:tcW w:w="5645" w:type="dxa"/>
          </w:tcPr>
          <w:p w14:paraId="1956CF29" w14:textId="77777777" w:rsidR="00C572CF" w:rsidRPr="00C572CF" w:rsidRDefault="00C572CF" w:rsidP="00C572CF">
            <w:pPr>
              <w:spacing w:after="0" w:line="240" w:lineRule="auto"/>
              <w:rPr>
                <w:rFonts w:cstheme="minorHAnsi"/>
                <w:b/>
              </w:rPr>
            </w:pPr>
            <w:r w:rsidRPr="00C572CF">
              <w:rPr>
                <w:rFonts w:cstheme="minorHAnsi"/>
              </w:rPr>
              <w:t xml:space="preserve">AS90974                                               </w:t>
            </w:r>
            <w:r w:rsidRPr="00C572CF">
              <w:rPr>
                <w:rFonts w:cstheme="minorHAnsi"/>
                <w:b/>
              </w:rPr>
              <w:t>1.5</w:t>
            </w:r>
          </w:p>
          <w:p w14:paraId="32560441" w14:textId="77777777" w:rsidR="00C572CF" w:rsidRPr="00C572CF" w:rsidRDefault="00C572CF" w:rsidP="00C572CF">
            <w:pPr>
              <w:spacing w:after="0" w:line="240" w:lineRule="auto"/>
              <w:rPr>
                <w:rFonts w:cstheme="minorHAnsi"/>
              </w:rPr>
            </w:pPr>
            <w:r w:rsidRPr="00C572CF">
              <w:rPr>
                <w:rFonts w:cstheme="minorHAnsi"/>
              </w:rPr>
              <w:t>Demonstrate understanding of strategies for</w:t>
            </w:r>
            <w:r>
              <w:rPr>
                <w:rFonts w:cstheme="minorHAnsi"/>
              </w:rPr>
              <w:t xml:space="preserve"> promoting positive sexuality.</w:t>
            </w:r>
          </w:p>
          <w:p w14:paraId="28EE04F9" w14:textId="77777777" w:rsidR="00C572CF" w:rsidRPr="00C572CF" w:rsidRDefault="00C572CF" w:rsidP="00C572CF">
            <w:pPr>
              <w:tabs>
                <w:tab w:val="left" w:pos="3600"/>
              </w:tabs>
              <w:spacing w:after="0" w:line="240" w:lineRule="auto"/>
              <w:rPr>
                <w:rFonts w:cstheme="minorHAnsi"/>
              </w:rPr>
            </w:pPr>
            <w:r w:rsidRPr="00C572CF">
              <w:rPr>
                <w:rFonts w:cstheme="minorHAnsi"/>
              </w:rPr>
              <w:t>4 credits</w:t>
            </w:r>
            <w:r>
              <w:rPr>
                <w:rFonts w:cstheme="minorHAnsi"/>
              </w:rPr>
              <w:t xml:space="preserve">, </w:t>
            </w:r>
            <w:r w:rsidRPr="00C572CF">
              <w:rPr>
                <w:rFonts w:cstheme="minorHAnsi"/>
              </w:rPr>
              <w:t>Internal</w:t>
            </w:r>
          </w:p>
        </w:tc>
        <w:tc>
          <w:tcPr>
            <w:tcW w:w="1174" w:type="dxa"/>
          </w:tcPr>
          <w:p w14:paraId="4E418E00"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43F16769"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4" w:type="dxa"/>
          </w:tcPr>
          <w:p w14:paraId="1F18FB5E"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1C6FFEEC" w14:textId="77777777" w:rsidR="00C572CF" w:rsidRPr="00C572CF" w:rsidRDefault="00C572CF" w:rsidP="00C572CF">
            <w:pPr>
              <w:spacing w:after="0" w:line="240" w:lineRule="auto"/>
              <w:jc w:val="center"/>
              <w:rPr>
                <w:rFonts w:cstheme="minorHAnsi"/>
                <w:sz w:val="40"/>
                <w:szCs w:val="40"/>
              </w:rPr>
            </w:pPr>
            <w:r>
              <w:rPr>
                <w:rFonts w:cstheme="minorHAnsi"/>
                <w:sz w:val="40"/>
                <w:szCs w:val="40"/>
              </w:rPr>
              <w:t>(</w:t>
            </w:r>
            <w:r w:rsidRPr="00C572CF">
              <w:rPr>
                <w:rFonts w:cstheme="minorHAnsi"/>
                <w:sz w:val="40"/>
                <w:szCs w:val="40"/>
              </w:rPr>
              <w:sym w:font="Wingdings" w:char="F0FC"/>
            </w:r>
            <w:r>
              <w:rPr>
                <w:rFonts w:cstheme="minorHAnsi"/>
                <w:sz w:val="40"/>
                <w:szCs w:val="40"/>
              </w:rPr>
              <w:t>)</w:t>
            </w:r>
          </w:p>
        </w:tc>
      </w:tr>
      <w:tr w:rsidR="00C572CF" w:rsidRPr="00C572CF" w14:paraId="1E0732E2" w14:textId="77777777" w:rsidTr="00C572CF">
        <w:trPr>
          <w:cantSplit/>
        </w:trPr>
        <w:tc>
          <w:tcPr>
            <w:tcW w:w="5645" w:type="dxa"/>
          </w:tcPr>
          <w:p w14:paraId="22C7A151" w14:textId="77777777" w:rsidR="00C572CF" w:rsidRPr="00C572CF" w:rsidRDefault="00C572CF" w:rsidP="00C572CF">
            <w:pPr>
              <w:spacing w:after="0" w:line="240" w:lineRule="auto"/>
              <w:rPr>
                <w:rFonts w:cstheme="minorHAnsi"/>
                <w:b/>
              </w:rPr>
            </w:pPr>
            <w:r w:rsidRPr="00C572CF">
              <w:rPr>
                <w:rFonts w:cstheme="minorHAnsi"/>
              </w:rPr>
              <w:t xml:space="preserve">AS90975                                               </w:t>
            </w:r>
            <w:r w:rsidRPr="00C572CF">
              <w:rPr>
                <w:rFonts w:cstheme="minorHAnsi"/>
                <w:b/>
              </w:rPr>
              <w:t>1.6</w:t>
            </w:r>
          </w:p>
          <w:p w14:paraId="5F8467C2" w14:textId="77777777" w:rsidR="00C572CF" w:rsidRPr="00C572CF" w:rsidRDefault="00C572CF" w:rsidP="00C572CF">
            <w:pPr>
              <w:spacing w:after="0" w:line="240" w:lineRule="auto"/>
              <w:rPr>
                <w:rFonts w:cstheme="minorHAnsi"/>
              </w:rPr>
            </w:pPr>
            <w:r w:rsidRPr="00C572CF">
              <w:rPr>
                <w:rFonts w:cstheme="minorHAnsi"/>
              </w:rPr>
              <w:t>Demonstrate understanding of issues to make health-enhancing decisi</w:t>
            </w:r>
            <w:r>
              <w:rPr>
                <w:rFonts w:cstheme="minorHAnsi"/>
              </w:rPr>
              <w:t>ons in drug-related situations.</w:t>
            </w:r>
          </w:p>
          <w:p w14:paraId="758D5451" w14:textId="77777777" w:rsidR="00C572CF" w:rsidRPr="00C572CF" w:rsidRDefault="00C572CF" w:rsidP="00C572CF">
            <w:pPr>
              <w:tabs>
                <w:tab w:val="left" w:pos="3600"/>
              </w:tabs>
              <w:spacing w:after="0" w:line="240" w:lineRule="auto"/>
              <w:rPr>
                <w:rFonts w:cstheme="minorHAnsi"/>
              </w:rPr>
            </w:pPr>
            <w:r w:rsidRPr="00C572CF">
              <w:rPr>
                <w:rFonts w:cstheme="minorHAnsi"/>
              </w:rPr>
              <w:t>4 credits</w:t>
            </w:r>
            <w:r>
              <w:rPr>
                <w:rFonts w:cstheme="minorHAnsi"/>
              </w:rPr>
              <w:t xml:space="preserve">, </w:t>
            </w:r>
            <w:r w:rsidRPr="00C572CF">
              <w:rPr>
                <w:rFonts w:cstheme="minorHAnsi"/>
              </w:rPr>
              <w:t>External</w:t>
            </w:r>
          </w:p>
        </w:tc>
        <w:tc>
          <w:tcPr>
            <w:tcW w:w="1174" w:type="dxa"/>
          </w:tcPr>
          <w:p w14:paraId="49E89545"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7AB35CFE"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4" w:type="dxa"/>
          </w:tcPr>
          <w:p w14:paraId="4E036FD0" w14:textId="77777777" w:rsidR="00C572CF" w:rsidRPr="00C572CF" w:rsidRDefault="00C572CF" w:rsidP="00C572CF">
            <w:pPr>
              <w:spacing w:after="0" w:line="240" w:lineRule="auto"/>
              <w:jc w:val="center"/>
              <w:rPr>
                <w:rFonts w:cstheme="minorHAnsi"/>
                <w:sz w:val="40"/>
                <w:szCs w:val="40"/>
              </w:rPr>
            </w:pPr>
            <w:r w:rsidRPr="00C572CF">
              <w:rPr>
                <w:rFonts w:cstheme="minorHAnsi"/>
                <w:sz w:val="40"/>
                <w:szCs w:val="40"/>
              </w:rPr>
              <w:sym w:font="Wingdings" w:char="F0FC"/>
            </w:r>
          </w:p>
        </w:tc>
        <w:tc>
          <w:tcPr>
            <w:tcW w:w="1175" w:type="dxa"/>
          </w:tcPr>
          <w:p w14:paraId="74E55BFF" w14:textId="77777777" w:rsidR="00C572CF" w:rsidRPr="00C572CF" w:rsidRDefault="00C572CF" w:rsidP="00C572CF">
            <w:pPr>
              <w:spacing w:after="0" w:line="240" w:lineRule="auto"/>
              <w:jc w:val="center"/>
              <w:rPr>
                <w:rFonts w:cstheme="minorHAnsi"/>
                <w:sz w:val="40"/>
                <w:szCs w:val="40"/>
              </w:rPr>
            </w:pPr>
            <w:r>
              <w:rPr>
                <w:rFonts w:cstheme="minorHAnsi"/>
                <w:sz w:val="40"/>
                <w:szCs w:val="40"/>
              </w:rPr>
              <w:t>(</w:t>
            </w:r>
            <w:r w:rsidRPr="00C572CF">
              <w:rPr>
                <w:rFonts w:cstheme="minorHAnsi"/>
                <w:sz w:val="40"/>
                <w:szCs w:val="40"/>
              </w:rPr>
              <w:sym w:font="Wingdings" w:char="F0FC"/>
            </w:r>
            <w:r>
              <w:rPr>
                <w:rFonts w:cstheme="minorHAnsi"/>
                <w:sz w:val="40"/>
                <w:szCs w:val="40"/>
              </w:rPr>
              <w:t>)</w:t>
            </w:r>
          </w:p>
        </w:tc>
      </w:tr>
    </w:tbl>
    <w:p w14:paraId="1537DBA6" w14:textId="77777777" w:rsidR="00C572CF" w:rsidRDefault="00C572CF"/>
    <w:p w14:paraId="1AF23717" w14:textId="77777777" w:rsidR="00C572CF" w:rsidRPr="00105833" w:rsidRDefault="00C572CF">
      <w:pPr>
        <w:rPr>
          <w:sz w:val="28"/>
          <w:szCs w:val="28"/>
        </w:rPr>
      </w:pPr>
      <w:r w:rsidRPr="00105833">
        <w:rPr>
          <w:b/>
          <w:sz w:val="28"/>
          <w:szCs w:val="28"/>
        </w:rPr>
        <w:t xml:space="preserve">What we are moving to </w:t>
      </w:r>
      <w:r w:rsidRPr="00105833">
        <w:rPr>
          <w:sz w:val="28"/>
          <w:szCs w:val="28"/>
        </w:rPr>
        <w:t xml:space="preserve">….. </w:t>
      </w:r>
      <w:r w:rsidR="00105833" w:rsidRPr="00105833">
        <w:rPr>
          <w:sz w:val="28"/>
          <w:szCs w:val="28"/>
        </w:rPr>
        <w:t xml:space="preserve">Assessing each UC once in a context selected by teachers and students </w:t>
      </w:r>
    </w:p>
    <w:tbl>
      <w:tblPr>
        <w:tblStyle w:val="TableGrid"/>
        <w:tblW w:w="0" w:type="auto"/>
        <w:tblLook w:val="04A0" w:firstRow="1" w:lastRow="0" w:firstColumn="1" w:lastColumn="0" w:noHBand="0" w:noVBand="1"/>
      </w:tblPr>
      <w:tblGrid>
        <w:gridCol w:w="5382"/>
        <w:gridCol w:w="2126"/>
        <w:gridCol w:w="1701"/>
        <w:gridCol w:w="1247"/>
      </w:tblGrid>
      <w:tr w:rsidR="00C572CF" w14:paraId="3141DBCF" w14:textId="77777777" w:rsidTr="00FE7494">
        <w:tc>
          <w:tcPr>
            <w:tcW w:w="5382" w:type="dxa"/>
            <w:shd w:val="clear" w:color="auto" w:fill="C00000"/>
          </w:tcPr>
          <w:p w14:paraId="59382148" w14:textId="77777777" w:rsidR="00C572CF" w:rsidRPr="00FE7494" w:rsidRDefault="00FE7494">
            <w:pPr>
              <w:rPr>
                <w:b/>
              </w:rPr>
            </w:pPr>
            <w:r w:rsidRPr="00FE7494">
              <w:rPr>
                <w:b/>
              </w:rPr>
              <w:t xml:space="preserve">Proposed level 1 HE(HE) Standards </w:t>
            </w:r>
          </w:p>
        </w:tc>
        <w:tc>
          <w:tcPr>
            <w:tcW w:w="2126" w:type="dxa"/>
            <w:shd w:val="clear" w:color="auto" w:fill="C00000"/>
          </w:tcPr>
          <w:p w14:paraId="59619C46" w14:textId="77777777" w:rsidR="00C572CF" w:rsidRPr="00FE7494" w:rsidRDefault="00C572CF">
            <w:pPr>
              <w:rPr>
                <w:b/>
                <w:sz w:val="18"/>
                <w:szCs w:val="18"/>
              </w:rPr>
            </w:pPr>
            <w:r w:rsidRPr="00FE7494">
              <w:rPr>
                <w:b/>
                <w:sz w:val="18"/>
                <w:szCs w:val="18"/>
              </w:rPr>
              <w:t>Mental health  (includes AoD and all other MHEd topics</w:t>
            </w:r>
            <w:r w:rsidR="00FE7494" w:rsidRPr="00FE7494">
              <w:rPr>
                <w:b/>
                <w:sz w:val="18"/>
                <w:szCs w:val="18"/>
              </w:rPr>
              <w:t>)</w:t>
            </w:r>
          </w:p>
        </w:tc>
        <w:tc>
          <w:tcPr>
            <w:tcW w:w="1701" w:type="dxa"/>
            <w:shd w:val="clear" w:color="auto" w:fill="C00000"/>
          </w:tcPr>
          <w:p w14:paraId="10B51076" w14:textId="77777777" w:rsidR="00C572CF" w:rsidRPr="00FE7494" w:rsidRDefault="00FE7494">
            <w:pPr>
              <w:rPr>
                <w:b/>
                <w:sz w:val="18"/>
                <w:szCs w:val="18"/>
              </w:rPr>
            </w:pPr>
            <w:r w:rsidRPr="00FE7494">
              <w:rPr>
                <w:b/>
                <w:sz w:val="18"/>
                <w:szCs w:val="18"/>
              </w:rPr>
              <w:t>Relationships and sexuality education</w:t>
            </w:r>
            <w:r>
              <w:rPr>
                <w:b/>
                <w:sz w:val="18"/>
                <w:szCs w:val="18"/>
              </w:rPr>
              <w:t xml:space="preserve"> (including gender)</w:t>
            </w:r>
            <w:r w:rsidRPr="00FE7494">
              <w:rPr>
                <w:b/>
                <w:sz w:val="18"/>
                <w:szCs w:val="18"/>
              </w:rPr>
              <w:t xml:space="preserve"> </w:t>
            </w:r>
          </w:p>
        </w:tc>
        <w:tc>
          <w:tcPr>
            <w:tcW w:w="1247" w:type="dxa"/>
            <w:shd w:val="clear" w:color="auto" w:fill="C00000"/>
          </w:tcPr>
          <w:p w14:paraId="0D4528FB" w14:textId="77777777" w:rsidR="00C572CF" w:rsidRPr="00FE7494" w:rsidRDefault="00FE7494" w:rsidP="00FE7494">
            <w:pPr>
              <w:rPr>
                <w:b/>
                <w:sz w:val="18"/>
                <w:szCs w:val="18"/>
              </w:rPr>
            </w:pPr>
            <w:r w:rsidRPr="00FE7494">
              <w:rPr>
                <w:b/>
                <w:sz w:val="18"/>
                <w:szCs w:val="18"/>
              </w:rPr>
              <w:t>Food and nutrition</w:t>
            </w:r>
          </w:p>
        </w:tc>
      </w:tr>
      <w:tr w:rsidR="00FE7494" w14:paraId="6C457909" w14:textId="77777777" w:rsidTr="00FE7494">
        <w:tc>
          <w:tcPr>
            <w:tcW w:w="5382" w:type="dxa"/>
          </w:tcPr>
          <w:p w14:paraId="469A57A2" w14:textId="77777777" w:rsidR="00FE7494" w:rsidRDefault="00FE7494" w:rsidP="00C572CF">
            <w:r w:rsidRPr="00FE7494">
              <w:rPr>
                <w:b/>
              </w:rPr>
              <w:t>1.1</w:t>
            </w:r>
            <w:r>
              <w:t xml:space="preserve"> </w:t>
            </w:r>
            <w:r w:rsidRPr="00C572CF">
              <w:t>Demonstrate understanding of Te Whare Tapa Whā in context</w:t>
            </w:r>
          </w:p>
          <w:p w14:paraId="2A20CDFA" w14:textId="77777777" w:rsidR="00FE7494" w:rsidRPr="00FE7494" w:rsidRDefault="00FE7494" w:rsidP="00C572CF">
            <w:pPr>
              <w:rPr>
                <w:b/>
                <w:color w:val="0070C0"/>
              </w:rPr>
            </w:pPr>
            <w:r w:rsidRPr="007320DC">
              <w:rPr>
                <w:color w:val="0070C0"/>
              </w:rPr>
              <w:t xml:space="preserve">Emphasis on the underlying concept of </w:t>
            </w:r>
            <w:r w:rsidRPr="007320DC">
              <w:rPr>
                <w:b/>
                <w:color w:val="0070C0"/>
              </w:rPr>
              <w:t>hauora</w:t>
            </w:r>
            <w:r>
              <w:rPr>
                <w:b/>
                <w:color w:val="0070C0"/>
              </w:rPr>
              <w:t xml:space="preserve"> </w:t>
            </w:r>
          </w:p>
          <w:p w14:paraId="478AA76B" w14:textId="77777777" w:rsidR="00FE7494" w:rsidRDefault="00FE7494" w:rsidP="00C572CF">
            <w:r>
              <w:t>5 credits internal</w:t>
            </w:r>
          </w:p>
        </w:tc>
        <w:tc>
          <w:tcPr>
            <w:tcW w:w="5074" w:type="dxa"/>
            <w:gridSpan w:val="3"/>
            <w:vMerge w:val="restart"/>
          </w:tcPr>
          <w:p w14:paraId="2D45852B" w14:textId="77777777" w:rsidR="00FE7494" w:rsidRPr="00FE7494" w:rsidRDefault="00FE7494" w:rsidP="00FE7494">
            <w:pPr>
              <w:pStyle w:val="ListParagraph"/>
              <w:numPr>
                <w:ilvl w:val="0"/>
                <w:numId w:val="19"/>
              </w:numPr>
              <w:rPr>
                <w:b/>
              </w:rPr>
            </w:pPr>
            <w:r w:rsidRPr="00FE7494">
              <w:rPr>
                <w:b/>
              </w:rPr>
              <w:t>You select the KAL context(s) for each standard</w:t>
            </w:r>
          </w:p>
          <w:p w14:paraId="5F129F88" w14:textId="78F46F91" w:rsidR="00FE7494" w:rsidRDefault="00FE7494" w:rsidP="00FE7494">
            <w:pPr>
              <w:pStyle w:val="ListParagraph"/>
              <w:numPr>
                <w:ilvl w:val="0"/>
                <w:numId w:val="19"/>
              </w:numPr>
            </w:pPr>
            <w:r w:rsidRPr="00FE7494">
              <w:rPr>
                <w:b/>
              </w:rPr>
              <w:t>Each underlying concept is assessed once</w:t>
            </w:r>
            <w:r>
              <w:t xml:space="preserve"> (</w:t>
            </w:r>
            <w:r w:rsidRPr="00FE7494">
              <w:rPr>
                <w:i/>
              </w:rPr>
              <w:t>although the learning will naturally cover</w:t>
            </w:r>
            <w:r w:rsidR="00213F86">
              <w:rPr>
                <w:i/>
              </w:rPr>
              <w:t xml:space="preserve"> </w:t>
            </w:r>
            <w:r w:rsidRPr="00FE7494">
              <w:rPr>
                <w:i/>
              </w:rPr>
              <w:t>all UCs in a given ‘topic’ or unit</w:t>
            </w:r>
            <w:r>
              <w:t xml:space="preserve">). </w:t>
            </w:r>
          </w:p>
          <w:p w14:paraId="687F073C" w14:textId="77777777" w:rsidR="00FE7494" w:rsidRDefault="00FE7494" w:rsidP="00FE7494">
            <w:pPr>
              <w:pStyle w:val="ListParagraph"/>
              <w:numPr>
                <w:ilvl w:val="0"/>
                <w:numId w:val="19"/>
              </w:numPr>
            </w:pPr>
            <w:r w:rsidRPr="00FE7494">
              <w:rPr>
                <w:b/>
              </w:rPr>
              <w:t>Mātauranga Māori</w:t>
            </w:r>
            <w:r>
              <w:t xml:space="preserve"> is incorporated across learning programme and incorporated into assessment in ways that </w:t>
            </w:r>
            <w:r w:rsidRPr="00FE7494">
              <w:rPr>
                <w:b/>
              </w:rPr>
              <w:t>reflect local curriculum design and learner needs and input l</w:t>
            </w:r>
            <w:bookmarkStart w:id="0" w:name="_GoBack"/>
            <w:bookmarkEnd w:id="0"/>
            <w:r w:rsidRPr="00FE7494">
              <w:rPr>
                <w:b/>
              </w:rPr>
              <w:t>ocal wh</w:t>
            </w:r>
            <w:r>
              <w:rPr>
                <w:rFonts w:cstheme="minorHAnsi"/>
                <w:b/>
              </w:rPr>
              <w:t>ā</w:t>
            </w:r>
            <w:r w:rsidRPr="00FE7494">
              <w:rPr>
                <w:b/>
              </w:rPr>
              <w:t>nau and from iwi</w:t>
            </w:r>
            <w:r>
              <w:t xml:space="preserve">. </w:t>
            </w:r>
          </w:p>
        </w:tc>
      </w:tr>
      <w:tr w:rsidR="00FE7494" w14:paraId="0E8E6F37" w14:textId="77777777" w:rsidTr="00FE7494">
        <w:tc>
          <w:tcPr>
            <w:tcW w:w="5382" w:type="dxa"/>
          </w:tcPr>
          <w:p w14:paraId="40415238" w14:textId="77777777" w:rsidR="00FE7494" w:rsidRDefault="00FE7494">
            <w:r w:rsidRPr="00FE7494">
              <w:rPr>
                <w:b/>
              </w:rPr>
              <w:t>1.2</w:t>
            </w:r>
            <w:r>
              <w:t xml:space="preserve"> </w:t>
            </w:r>
            <w:r w:rsidRPr="00C572CF">
              <w:t>Demonstrate understanding of an action to enhance hauora</w:t>
            </w:r>
          </w:p>
          <w:p w14:paraId="24FC033D" w14:textId="77777777" w:rsidR="00FE7494" w:rsidRPr="00FE7494" w:rsidRDefault="00FE7494">
            <w:pPr>
              <w:rPr>
                <w:color w:val="0070C0"/>
              </w:rPr>
            </w:pPr>
            <w:r w:rsidRPr="007320DC">
              <w:rPr>
                <w:color w:val="0070C0"/>
              </w:rPr>
              <w:t xml:space="preserve">Emphasis on the underlying concept of </w:t>
            </w:r>
            <w:r w:rsidRPr="007320DC">
              <w:rPr>
                <w:b/>
                <w:color w:val="0070C0"/>
              </w:rPr>
              <w:t>health promotion</w:t>
            </w:r>
            <w:r>
              <w:rPr>
                <w:color w:val="0070C0"/>
              </w:rPr>
              <w:t xml:space="preserve"> </w:t>
            </w:r>
          </w:p>
          <w:p w14:paraId="73150D47" w14:textId="77777777" w:rsidR="00FE7494" w:rsidRDefault="00FE7494">
            <w:r>
              <w:t>5 credits internal</w:t>
            </w:r>
          </w:p>
        </w:tc>
        <w:tc>
          <w:tcPr>
            <w:tcW w:w="5074" w:type="dxa"/>
            <w:gridSpan w:val="3"/>
            <w:vMerge/>
          </w:tcPr>
          <w:p w14:paraId="09AB5FFF" w14:textId="77777777" w:rsidR="00FE7494" w:rsidRDefault="00FE7494"/>
        </w:tc>
      </w:tr>
      <w:tr w:rsidR="00FE7494" w14:paraId="613D963B" w14:textId="77777777" w:rsidTr="00FE7494">
        <w:tc>
          <w:tcPr>
            <w:tcW w:w="5382" w:type="dxa"/>
          </w:tcPr>
          <w:p w14:paraId="094D3F97" w14:textId="77777777" w:rsidR="00FE7494" w:rsidRDefault="00FE7494">
            <w:r w:rsidRPr="00FE7494">
              <w:rPr>
                <w:b/>
              </w:rPr>
              <w:t>1.3</w:t>
            </w:r>
            <w:r>
              <w:t xml:space="preserve"> </w:t>
            </w:r>
            <w:r w:rsidRPr="00C572CF">
              <w:t>Demonstrate understanding of factors that influence a wellbeing issue</w:t>
            </w:r>
          </w:p>
          <w:p w14:paraId="738D3694" w14:textId="77777777" w:rsidR="00FE7494" w:rsidRPr="00FE7494" w:rsidRDefault="00FE7494">
            <w:pPr>
              <w:rPr>
                <w:b/>
                <w:color w:val="0070C0"/>
              </w:rPr>
            </w:pPr>
            <w:r w:rsidRPr="007320DC">
              <w:rPr>
                <w:color w:val="0070C0"/>
              </w:rPr>
              <w:t>Emphasis on the underlying concept of the</w:t>
            </w:r>
            <w:r>
              <w:rPr>
                <w:b/>
                <w:color w:val="0070C0"/>
              </w:rPr>
              <w:t xml:space="preserve"> socio-ecological perspective </w:t>
            </w:r>
          </w:p>
          <w:p w14:paraId="0B73CAD9" w14:textId="77777777" w:rsidR="00FE7494" w:rsidRDefault="00FE7494">
            <w:r>
              <w:t>5 credits external</w:t>
            </w:r>
          </w:p>
        </w:tc>
        <w:tc>
          <w:tcPr>
            <w:tcW w:w="5074" w:type="dxa"/>
            <w:gridSpan w:val="3"/>
            <w:vMerge/>
          </w:tcPr>
          <w:p w14:paraId="74399CB4" w14:textId="77777777" w:rsidR="00FE7494" w:rsidRDefault="00FE7494"/>
        </w:tc>
      </w:tr>
      <w:tr w:rsidR="00FE7494" w14:paraId="61B7FDA4" w14:textId="77777777" w:rsidTr="00FE7494">
        <w:tc>
          <w:tcPr>
            <w:tcW w:w="5382" w:type="dxa"/>
          </w:tcPr>
          <w:p w14:paraId="12B9448E" w14:textId="77777777" w:rsidR="00FE7494" w:rsidRDefault="00FE7494">
            <w:r w:rsidRPr="00FE7494">
              <w:rPr>
                <w:b/>
              </w:rPr>
              <w:t>1.4</w:t>
            </w:r>
            <w:r>
              <w:t xml:space="preserve"> </w:t>
            </w:r>
            <w:r w:rsidRPr="00C572CF">
              <w:t>Demonstrate understanding of strategies that enhance hauora</w:t>
            </w:r>
          </w:p>
          <w:p w14:paraId="6887BD5F" w14:textId="77777777" w:rsidR="00FE7494" w:rsidRPr="00FE7494" w:rsidRDefault="00FE7494">
            <w:pPr>
              <w:rPr>
                <w:color w:val="0070C0"/>
              </w:rPr>
            </w:pPr>
            <w:r w:rsidRPr="007320DC">
              <w:rPr>
                <w:color w:val="0070C0"/>
              </w:rPr>
              <w:t xml:space="preserve">Emphasis on the underlying concept of </w:t>
            </w:r>
            <w:r w:rsidRPr="007320DC">
              <w:rPr>
                <w:b/>
                <w:color w:val="0070C0"/>
              </w:rPr>
              <w:t>attitudes and values</w:t>
            </w:r>
            <w:r w:rsidRPr="007320DC">
              <w:rPr>
                <w:color w:val="0070C0"/>
              </w:rPr>
              <w:t xml:space="preserve"> </w:t>
            </w:r>
            <w:r w:rsidRPr="00FE7494">
              <w:rPr>
                <w:i/>
                <w:color w:val="0070C0"/>
              </w:rPr>
              <w:t>(in context of strategies for taking action to promote wellbeing)</w:t>
            </w:r>
            <w:r>
              <w:rPr>
                <w:color w:val="0070C0"/>
              </w:rPr>
              <w:t xml:space="preserve"> </w:t>
            </w:r>
          </w:p>
          <w:p w14:paraId="3A78D1C9" w14:textId="77777777" w:rsidR="00FE7494" w:rsidRDefault="00FE7494">
            <w:r>
              <w:t>5 credits external</w:t>
            </w:r>
          </w:p>
        </w:tc>
        <w:tc>
          <w:tcPr>
            <w:tcW w:w="5074" w:type="dxa"/>
            <w:gridSpan w:val="3"/>
            <w:vMerge/>
          </w:tcPr>
          <w:p w14:paraId="4814D18E" w14:textId="77777777" w:rsidR="00FE7494" w:rsidRDefault="00FE7494"/>
        </w:tc>
      </w:tr>
    </w:tbl>
    <w:p w14:paraId="6A8A5A3C" w14:textId="77777777" w:rsidR="00855FCD" w:rsidRDefault="00C572CF" w:rsidP="00105833">
      <w:pPr>
        <w:spacing w:after="0" w:line="240" w:lineRule="auto"/>
        <w:jc w:val="center"/>
        <w:rPr>
          <w:b/>
          <w:sz w:val="32"/>
          <w:szCs w:val="32"/>
        </w:rPr>
      </w:pPr>
      <w:r>
        <w:br w:type="page"/>
      </w:r>
      <w:r w:rsidR="00855FCD" w:rsidRPr="00855FCD">
        <w:rPr>
          <w:b/>
          <w:color w:val="C00000"/>
          <w:sz w:val="32"/>
          <w:szCs w:val="32"/>
        </w:rPr>
        <w:lastRenderedPageBreak/>
        <w:t>Workshop task:</w:t>
      </w:r>
      <w:r w:rsidR="00855FCD" w:rsidRPr="00855FCD">
        <w:rPr>
          <w:b/>
          <w:color w:val="C00000"/>
          <w:sz w:val="28"/>
          <w:szCs w:val="28"/>
        </w:rPr>
        <w:t xml:space="preserve"> </w:t>
      </w:r>
      <w:r w:rsidR="009B48FB">
        <w:rPr>
          <w:b/>
          <w:sz w:val="32"/>
          <w:szCs w:val="32"/>
        </w:rPr>
        <w:t>Learning programme</w:t>
      </w:r>
      <w:r w:rsidR="009B48FB" w:rsidRPr="00680E70">
        <w:rPr>
          <w:b/>
          <w:sz w:val="32"/>
          <w:szCs w:val="32"/>
        </w:rPr>
        <w:t xml:space="preserve"> design</w:t>
      </w:r>
    </w:p>
    <w:p w14:paraId="58B4B1F2" w14:textId="77777777" w:rsidR="009B48FB" w:rsidRPr="00680E70" w:rsidRDefault="009B48FB" w:rsidP="00105833">
      <w:pPr>
        <w:spacing w:after="0" w:line="240" w:lineRule="auto"/>
        <w:jc w:val="center"/>
        <w:rPr>
          <w:b/>
          <w:sz w:val="32"/>
          <w:szCs w:val="32"/>
        </w:rPr>
      </w:pPr>
      <w:r w:rsidRPr="00680E70">
        <w:rPr>
          <w:b/>
          <w:sz w:val="32"/>
          <w:szCs w:val="32"/>
        </w:rPr>
        <w:t xml:space="preserve">Health </w:t>
      </w:r>
      <w:r w:rsidR="00364FB5">
        <w:rPr>
          <w:b/>
          <w:sz w:val="32"/>
          <w:szCs w:val="32"/>
        </w:rPr>
        <w:t>Education (with Home Economics)</w:t>
      </w:r>
      <w:r w:rsidR="00855FCD">
        <w:rPr>
          <w:b/>
          <w:sz w:val="32"/>
          <w:szCs w:val="32"/>
        </w:rPr>
        <w:t xml:space="preserve"> </w:t>
      </w:r>
      <w:r w:rsidRPr="00680E70">
        <w:rPr>
          <w:b/>
          <w:sz w:val="32"/>
          <w:szCs w:val="32"/>
        </w:rPr>
        <w:t xml:space="preserve">Level 1 NCEA </w:t>
      </w:r>
    </w:p>
    <w:tbl>
      <w:tblPr>
        <w:tblStyle w:val="TableGrid"/>
        <w:tblW w:w="0" w:type="auto"/>
        <w:tblLayout w:type="fixed"/>
        <w:tblLook w:val="04A0" w:firstRow="1" w:lastRow="0" w:firstColumn="1" w:lastColumn="0" w:noHBand="0" w:noVBand="1"/>
      </w:tblPr>
      <w:tblGrid>
        <w:gridCol w:w="3248"/>
        <w:gridCol w:w="1567"/>
        <w:gridCol w:w="567"/>
        <w:gridCol w:w="1470"/>
        <w:gridCol w:w="1365"/>
        <w:gridCol w:w="437"/>
        <w:gridCol w:w="1802"/>
      </w:tblGrid>
      <w:tr w:rsidR="009B48FB" w14:paraId="1493BC44" w14:textId="77777777" w:rsidTr="00364FB5">
        <w:trPr>
          <w:trHeight w:val="299"/>
        </w:trPr>
        <w:tc>
          <w:tcPr>
            <w:tcW w:w="3248" w:type="dxa"/>
            <w:shd w:val="clear" w:color="auto" w:fill="FFE599" w:themeFill="accent4" w:themeFillTint="66"/>
          </w:tcPr>
          <w:p w14:paraId="271B7E50" w14:textId="77777777" w:rsidR="009B48FB" w:rsidRPr="003B6BFF" w:rsidRDefault="00364FB5" w:rsidP="00C572CF">
            <w:pPr>
              <w:jc w:val="center"/>
              <w:rPr>
                <w:b/>
                <w:sz w:val="28"/>
                <w:szCs w:val="28"/>
              </w:rPr>
            </w:pPr>
            <w:r>
              <w:rPr>
                <w:b/>
                <w:sz w:val="28"/>
                <w:szCs w:val="28"/>
              </w:rPr>
              <w:t xml:space="preserve">NZC </w:t>
            </w:r>
            <w:r w:rsidR="009B48FB" w:rsidRPr="003B6BFF">
              <w:rPr>
                <w:b/>
                <w:sz w:val="28"/>
                <w:szCs w:val="28"/>
              </w:rPr>
              <w:t xml:space="preserve">HPE Underlying concepts </w:t>
            </w:r>
          </w:p>
        </w:tc>
        <w:tc>
          <w:tcPr>
            <w:tcW w:w="1567" w:type="dxa"/>
            <w:shd w:val="clear" w:color="auto" w:fill="FFF2CC" w:themeFill="accent4" w:themeFillTint="33"/>
          </w:tcPr>
          <w:p w14:paraId="64C97E07" w14:textId="77777777" w:rsidR="009B48FB" w:rsidRPr="003B6BFF" w:rsidRDefault="009B48FB" w:rsidP="00C572CF">
            <w:pPr>
              <w:jc w:val="center"/>
              <w:rPr>
                <w:b/>
                <w:sz w:val="28"/>
                <w:szCs w:val="28"/>
              </w:rPr>
            </w:pPr>
            <w:r w:rsidRPr="003B6BFF">
              <w:rPr>
                <w:b/>
                <w:sz w:val="28"/>
                <w:szCs w:val="28"/>
              </w:rPr>
              <w:t>Hauora</w:t>
            </w:r>
          </w:p>
        </w:tc>
        <w:tc>
          <w:tcPr>
            <w:tcW w:w="2037" w:type="dxa"/>
            <w:gridSpan w:val="2"/>
            <w:shd w:val="clear" w:color="auto" w:fill="FFF2CC" w:themeFill="accent4" w:themeFillTint="33"/>
          </w:tcPr>
          <w:p w14:paraId="20F4D0E0" w14:textId="77777777" w:rsidR="009B48FB" w:rsidRPr="003B6BFF" w:rsidRDefault="009B48FB" w:rsidP="00C572CF">
            <w:pPr>
              <w:jc w:val="center"/>
              <w:rPr>
                <w:b/>
                <w:sz w:val="28"/>
                <w:szCs w:val="28"/>
              </w:rPr>
            </w:pPr>
            <w:r w:rsidRPr="003B6BFF">
              <w:rPr>
                <w:b/>
                <w:sz w:val="28"/>
                <w:szCs w:val="28"/>
              </w:rPr>
              <w:t>Socioecological perspective</w:t>
            </w:r>
          </w:p>
        </w:tc>
        <w:tc>
          <w:tcPr>
            <w:tcW w:w="1802" w:type="dxa"/>
            <w:gridSpan w:val="2"/>
            <w:shd w:val="clear" w:color="auto" w:fill="FFF2CC" w:themeFill="accent4" w:themeFillTint="33"/>
          </w:tcPr>
          <w:p w14:paraId="6AFDDE4A" w14:textId="77777777" w:rsidR="009B48FB" w:rsidRPr="003B6BFF" w:rsidRDefault="009B48FB" w:rsidP="00C572CF">
            <w:pPr>
              <w:jc w:val="center"/>
              <w:rPr>
                <w:b/>
                <w:sz w:val="28"/>
                <w:szCs w:val="28"/>
              </w:rPr>
            </w:pPr>
            <w:r w:rsidRPr="003B6BFF">
              <w:rPr>
                <w:b/>
                <w:sz w:val="28"/>
                <w:szCs w:val="28"/>
              </w:rPr>
              <w:t>Health promotion</w:t>
            </w:r>
          </w:p>
        </w:tc>
        <w:tc>
          <w:tcPr>
            <w:tcW w:w="1802" w:type="dxa"/>
            <w:shd w:val="clear" w:color="auto" w:fill="FFF2CC" w:themeFill="accent4" w:themeFillTint="33"/>
          </w:tcPr>
          <w:p w14:paraId="2845B093" w14:textId="77777777" w:rsidR="009B48FB" w:rsidRPr="003B6BFF" w:rsidRDefault="009B48FB" w:rsidP="00C572CF">
            <w:pPr>
              <w:jc w:val="center"/>
              <w:rPr>
                <w:b/>
                <w:sz w:val="28"/>
                <w:szCs w:val="28"/>
              </w:rPr>
            </w:pPr>
            <w:r w:rsidRPr="003B6BFF">
              <w:rPr>
                <w:b/>
                <w:sz w:val="28"/>
                <w:szCs w:val="28"/>
              </w:rPr>
              <w:t>Attitudes and values</w:t>
            </w:r>
          </w:p>
        </w:tc>
      </w:tr>
      <w:tr w:rsidR="009B48FB" w:rsidRPr="00363AAC" w14:paraId="419B7E0C" w14:textId="77777777" w:rsidTr="00364FB5">
        <w:trPr>
          <w:trHeight w:val="283"/>
        </w:trPr>
        <w:tc>
          <w:tcPr>
            <w:tcW w:w="3248" w:type="dxa"/>
            <w:shd w:val="clear" w:color="auto" w:fill="C5E0B3" w:themeFill="accent6" w:themeFillTint="66"/>
          </w:tcPr>
          <w:p w14:paraId="02AA2D69" w14:textId="77777777" w:rsidR="009B48FB" w:rsidRPr="003B6BFF" w:rsidRDefault="009B48FB" w:rsidP="00364FB5">
            <w:pPr>
              <w:jc w:val="center"/>
              <w:rPr>
                <w:b/>
                <w:sz w:val="28"/>
                <w:szCs w:val="28"/>
              </w:rPr>
            </w:pPr>
            <w:r w:rsidRPr="003B6BFF">
              <w:rPr>
                <w:b/>
                <w:sz w:val="28"/>
                <w:szCs w:val="28"/>
              </w:rPr>
              <w:t>HE(HE) KALs</w:t>
            </w:r>
            <w:r w:rsidR="00364FB5">
              <w:rPr>
                <w:b/>
                <w:sz w:val="28"/>
                <w:szCs w:val="28"/>
              </w:rPr>
              <w:t xml:space="preserve"> from the HPE learning area</w:t>
            </w:r>
          </w:p>
        </w:tc>
        <w:tc>
          <w:tcPr>
            <w:tcW w:w="2134" w:type="dxa"/>
            <w:gridSpan w:val="2"/>
            <w:shd w:val="clear" w:color="auto" w:fill="E2EFD9" w:themeFill="accent6" w:themeFillTint="33"/>
          </w:tcPr>
          <w:p w14:paraId="559CCB2B" w14:textId="77777777" w:rsidR="009B48FB" w:rsidRPr="003B6BFF" w:rsidRDefault="009B48FB" w:rsidP="00C572CF">
            <w:pPr>
              <w:jc w:val="center"/>
              <w:rPr>
                <w:b/>
                <w:sz w:val="28"/>
                <w:szCs w:val="28"/>
              </w:rPr>
            </w:pPr>
            <w:r w:rsidRPr="003B6BFF">
              <w:rPr>
                <w:b/>
                <w:sz w:val="28"/>
                <w:szCs w:val="28"/>
              </w:rPr>
              <w:t>Mental health</w:t>
            </w:r>
          </w:p>
        </w:tc>
        <w:tc>
          <w:tcPr>
            <w:tcW w:w="2835" w:type="dxa"/>
            <w:gridSpan w:val="2"/>
            <w:shd w:val="clear" w:color="auto" w:fill="E2EFD9" w:themeFill="accent6" w:themeFillTint="33"/>
          </w:tcPr>
          <w:p w14:paraId="7B2B0909" w14:textId="77777777" w:rsidR="009B48FB" w:rsidRPr="003B6BFF" w:rsidRDefault="009B48FB" w:rsidP="00C572CF">
            <w:pPr>
              <w:jc w:val="center"/>
              <w:rPr>
                <w:b/>
                <w:sz w:val="28"/>
                <w:szCs w:val="28"/>
              </w:rPr>
            </w:pPr>
            <w:r w:rsidRPr="003B6BFF">
              <w:rPr>
                <w:b/>
                <w:sz w:val="28"/>
                <w:szCs w:val="28"/>
              </w:rPr>
              <w:t>(Relationships and) Sexuality Education</w:t>
            </w:r>
          </w:p>
        </w:tc>
        <w:tc>
          <w:tcPr>
            <w:tcW w:w="2239" w:type="dxa"/>
            <w:gridSpan w:val="2"/>
            <w:shd w:val="clear" w:color="auto" w:fill="E2EFD9" w:themeFill="accent6" w:themeFillTint="33"/>
          </w:tcPr>
          <w:p w14:paraId="3D069C00" w14:textId="77777777" w:rsidR="009B48FB" w:rsidRPr="003B6BFF" w:rsidRDefault="009B48FB" w:rsidP="00C572CF">
            <w:pPr>
              <w:jc w:val="center"/>
              <w:rPr>
                <w:b/>
                <w:sz w:val="28"/>
                <w:szCs w:val="28"/>
              </w:rPr>
            </w:pPr>
            <w:r w:rsidRPr="003B6BFF">
              <w:rPr>
                <w:b/>
                <w:sz w:val="28"/>
                <w:szCs w:val="28"/>
              </w:rPr>
              <w:t>Food and nutrition</w:t>
            </w:r>
          </w:p>
        </w:tc>
      </w:tr>
      <w:tr w:rsidR="00364FB5" w:rsidRPr="00363AAC" w14:paraId="602E95D9" w14:textId="77777777" w:rsidTr="00364FB5">
        <w:trPr>
          <w:trHeight w:val="283"/>
        </w:trPr>
        <w:tc>
          <w:tcPr>
            <w:tcW w:w="3248" w:type="dxa"/>
            <w:shd w:val="clear" w:color="auto" w:fill="FF9F9F"/>
          </w:tcPr>
          <w:p w14:paraId="053F683B" w14:textId="77777777" w:rsidR="00364FB5" w:rsidRPr="003B6BFF" w:rsidRDefault="00364FB5" w:rsidP="00C572CF">
            <w:pPr>
              <w:jc w:val="center"/>
              <w:rPr>
                <w:b/>
                <w:sz w:val="28"/>
                <w:szCs w:val="28"/>
              </w:rPr>
            </w:pPr>
            <w:r>
              <w:rPr>
                <w:b/>
                <w:sz w:val="28"/>
                <w:szCs w:val="28"/>
              </w:rPr>
              <w:t xml:space="preserve">Mana ōrite mo te mātauranga Māori </w:t>
            </w:r>
          </w:p>
        </w:tc>
        <w:tc>
          <w:tcPr>
            <w:tcW w:w="7208" w:type="dxa"/>
            <w:gridSpan w:val="6"/>
            <w:shd w:val="clear" w:color="auto" w:fill="FFD9D9"/>
          </w:tcPr>
          <w:p w14:paraId="6C8E590D" w14:textId="77777777" w:rsidR="00364FB5" w:rsidRDefault="00364FB5" w:rsidP="00C572CF">
            <w:pPr>
              <w:jc w:val="center"/>
              <w:rPr>
                <w:b/>
                <w:sz w:val="28"/>
                <w:szCs w:val="28"/>
              </w:rPr>
            </w:pPr>
            <w:r>
              <w:rPr>
                <w:b/>
                <w:sz w:val="28"/>
                <w:szCs w:val="28"/>
              </w:rPr>
              <w:t xml:space="preserve">Mātauranga Māori </w:t>
            </w:r>
          </w:p>
          <w:p w14:paraId="2BFB3BB7" w14:textId="77777777" w:rsidR="00364FB5" w:rsidRPr="00364FB5" w:rsidRDefault="00364FB5" w:rsidP="00C572CF">
            <w:pPr>
              <w:jc w:val="center"/>
              <w:rPr>
                <w:i/>
                <w:sz w:val="28"/>
                <w:szCs w:val="28"/>
              </w:rPr>
            </w:pPr>
          </w:p>
        </w:tc>
      </w:tr>
    </w:tbl>
    <w:p w14:paraId="763792C6" w14:textId="77777777" w:rsidR="009B48FB" w:rsidRDefault="009B48FB" w:rsidP="009B48FB">
      <w:pPr>
        <w:rPr>
          <w:b/>
          <w:color w:val="C00000"/>
        </w:rPr>
      </w:pPr>
    </w:p>
    <w:p w14:paraId="4D06BA2D" w14:textId="77777777" w:rsidR="009B48FB" w:rsidRDefault="009B48FB" w:rsidP="009B48FB">
      <w:pPr>
        <w:rPr>
          <w:i/>
          <w:color w:val="C00000"/>
        </w:rPr>
      </w:pPr>
      <w:r w:rsidRPr="00A37372">
        <w:rPr>
          <w:b/>
          <w:color w:val="C00000"/>
        </w:rPr>
        <w:t xml:space="preserve">What </w:t>
      </w:r>
      <w:r w:rsidRPr="00105833">
        <w:rPr>
          <w:b/>
          <w:color w:val="C00000"/>
          <w:u w:val="single"/>
        </w:rPr>
        <w:t xml:space="preserve">learning contexts (topics or themes) </w:t>
      </w:r>
      <w:r w:rsidRPr="00A37372">
        <w:rPr>
          <w:b/>
          <w:color w:val="C00000"/>
        </w:rPr>
        <w:t xml:space="preserve">will you select from across the </w:t>
      </w:r>
      <w:r w:rsidR="00364FB5">
        <w:rPr>
          <w:b/>
          <w:color w:val="C00000"/>
        </w:rPr>
        <w:t>HE(HE)</w:t>
      </w:r>
      <w:r w:rsidRPr="00A37372">
        <w:rPr>
          <w:b/>
          <w:color w:val="C00000"/>
        </w:rPr>
        <w:t xml:space="preserve"> relevant KALs of the HPE learning area </w:t>
      </w:r>
      <w:r>
        <w:rPr>
          <w:b/>
          <w:color w:val="C00000"/>
        </w:rPr>
        <w:t xml:space="preserve">in the </w:t>
      </w:r>
      <w:r w:rsidRPr="00CC153D">
        <w:rPr>
          <w:b/>
          <w:i/>
          <w:color w:val="C00000"/>
        </w:rPr>
        <w:t>New Zealand Curriculum</w:t>
      </w:r>
      <w:r w:rsidRPr="00A37372">
        <w:rPr>
          <w:b/>
          <w:color w:val="C00000"/>
        </w:rPr>
        <w:t>, leading t</w:t>
      </w:r>
      <w:r>
        <w:rPr>
          <w:b/>
          <w:color w:val="C00000"/>
        </w:rPr>
        <w:t>o the assessment framed by the</w:t>
      </w:r>
      <w:r w:rsidRPr="00A37372">
        <w:rPr>
          <w:b/>
          <w:color w:val="C00000"/>
        </w:rPr>
        <w:t xml:space="preserve"> </w:t>
      </w:r>
      <w:r w:rsidR="00105833">
        <w:rPr>
          <w:b/>
          <w:color w:val="C00000"/>
        </w:rPr>
        <w:t xml:space="preserve">proposed </w:t>
      </w:r>
      <w:r w:rsidR="00364FB5">
        <w:rPr>
          <w:b/>
          <w:color w:val="C00000"/>
        </w:rPr>
        <w:t>HE(HE)</w:t>
      </w:r>
      <w:r>
        <w:rPr>
          <w:b/>
          <w:color w:val="C00000"/>
        </w:rPr>
        <w:t xml:space="preserve"> </w:t>
      </w:r>
      <w:r w:rsidRPr="00A37372">
        <w:rPr>
          <w:b/>
          <w:color w:val="C00000"/>
        </w:rPr>
        <w:t>standards</w:t>
      </w:r>
      <w:r>
        <w:rPr>
          <w:b/>
          <w:color w:val="C00000"/>
        </w:rPr>
        <w:t xml:space="preserve">? </w:t>
      </w:r>
      <w:r w:rsidR="00105833">
        <w:rPr>
          <w:b/>
          <w:color w:val="C00000"/>
        </w:rPr>
        <w:t>See template following.</w:t>
      </w:r>
    </w:p>
    <w:p w14:paraId="1621411E" w14:textId="77777777" w:rsidR="009B48FB" w:rsidRPr="00A37372" w:rsidRDefault="009B48FB" w:rsidP="009B48FB">
      <w:pPr>
        <w:pStyle w:val="ListParagraph"/>
        <w:numPr>
          <w:ilvl w:val="0"/>
          <w:numId w:val="7"/>
        </w:numPr>
      </w:pPr>
      <w:r w:rsidRPr="00A37372">
        <w:t xml:space="preserve">Base your learning programme on 32 weeks (~8 weeks of learning for each standard). </w:t>
      </w:r>
    </w:p>
    <w:p w14:paraId="14CBDD8A" w14:textId="77777777" w:rsidR="009B48FB" w:rsidRDefault="009B48FB" w:rsidP="009B48FB">
      <w:pPr>
        <w:pStyle w:val="ListParagraph"/>
        <w:numPr>
          <w:ilvl w:val="0"/>
          <w:numId w:val="7"/>
        </w:numPr>
      </w:pPr>
      <w:r>
        <w:t>Select contexts that have high relevance for students and which are topical</w:t>
      </w:r>
      <w:r w:rsidRPr="00A37372">
        <w:t xml:space="preserve"> </w:t>
      </w:r>
      <w:r>
        <w:t xml:space="preserve">in your school/community (as identified though student voice and other data), AND which reflect the priorities established in your local school curriculum. </w:t>
      </w:r>
      <w:r w:rsidRPr="00A37372">
        <w:t xml:space="preserve">  </w:t>
      </w:r>
    </w:p>
    <w:p w14:paraId="6BFEAF1A" w14:textId="77777777" w:rsidR="009B48FB" w:rsidRPr="00A37372" w:rsidRDefault="009B48FB" w:rsidP="009B48FB">
      <w:pPr>
        <w:pStyle w:val="ListParagraph"/>
        <w:numPr>
          <w:ilvl w:val="0"/>
          <w:numId w:val="7"/>
        </w:numPr>
      </w:pPr>
      <w:r>
        <w:t>Think about</w:t>
      </w:r>
      <w:r w:rsidRPr="00A37372">
        <w:t xml:space="preserve"> exploring a range of different topics/contexts</w:t>
      </w:r>
      <w:r>
        <w:t xml:space="preserve"> from within the broad intentions of the KALs, or across KALs,</w:t>
      </w:r>
      <w:r w:rsidRPr="00A37372">
        <w:t xml:space="preserve"> rather than one topic = one standard</w:t>
      </w:r>
      <w:r>
        <w:t>. Use the flexibility of the context/topic free standards to decide where and how you will develop understanding of the underlying concepts. Think also about the development of the HE(HE) big ideas across your course.</w:t>
      </w:r>
    </w:p>
    <w:p w14:paraId="24906C96" w14:textId="77777777" w:rsidR="009B48FB" w:rsidRDefault="009B48FB" w:rsidP="009B48FB">
      <w:pPr>
        <w:pStyle w:val="ListParagraph"/>
        <w:numPr>
          <w:ilvl w:val="0"/>
          <w:numId w:val="7"/>
        </w:numPr>
      </w:pPr>
      <w:r w:rsidRPr="00A37372">
        <w:t xml:space="preserve">Emphasise the development of the </w:t>
      </w:r>
      <w:r>
        <w:t xml:space="preserve">HPE </w:t>
      </w:r>
      <w:r w:rsidRPr="00A37372">
        <w:t xml:space="preserve">underlying concepts </w:t>
      </w:r>
      <w:r>
        <w:t xml:space="preserve">(as they apply to HE(HE) </w:t>
      </w:r>
      <w:r w:rsidRPr="00A37372">
        <w:t>and the transferability of these between contexts</w:t>
      </w:r>
      <w:r>
        <w:t>/topics)</w:t>
      </w:r>
      <w:r w:rsidRPr="00A37372">
        <w:t xml:space="preserve">. </w:t>
      </w:r>
      <w:r>
        <w:t>T</w:t>
      </w:r>
      <w:r w:rsidRPr="00A37372">
        <w:t>hink also about learning and qualifications pathways and</w:t>
      </w:r>
      <w:r>
        <w:t xml:space="preserve"> how learning about the UCs at this level needs to be developed in preparation for Level 2 and 3 (</w:t>
      </w:r>
      <w:r w:rsidRPr="009B48FB">
        <w:rPr>
          <w:i/>
        </w:rPr>
        <w:t>assume the level or pitch of these UCs at L2&amp;3 will remain much the same as present</w:t>
      </w:r>
      <w:r>
        <w:t>).</w:t>
      </w:r>
    </w:p>
    <w:p w14:paraId="53A27EF2" w14:textId="77777777" w:rsidR="009B48FB" w:rsidRDefault="009B48FB" w:rsidP="009B48FB">
      <w:pPr>
        <w:pStyle w:val="ListParagraph"/>
        <w:numPr>
          <w:ilvl w:val="0"/>
          <w:numId w:val="7"/>
        </w:numPr>
      </w:pPr>
      <w:r w:rsidRPr="00A37372">
        <w:t>Avoid designing a teaching</w:t>
      </w:r>
      <w:r>
        <w:t xml:space="preserve"> and learning </w:t>
      </w:r>
      <w:r w:rsidRPr="00A37372">
        <w:t>programme that simply teach</w:t>
      </w:r>
      <w:r>
        <w:t>es</w:t>
      </w:r>
      <w:r w:rsidRPr="00A37372">
        <w:t xml:space="preserve"> </w:t>
      </w:r>
      <w:r>
        <w:t xml:space="preserve">to the standards. </w:t>
      </w:r>
    </w:p>
    <w:p w14:paraId="1BECFC8F" w14:textId="77777777" w:rsidR="009B48FB" w:rsidRDefault="009B48FB" w:rsidP="009B48FB">
      <w:pPr>
        <w:pStyle w:val="ListParagraph"/>
        <w:numPr>
          <w:ilvl w:val="0"/>
          <w:numId w:val="7"/>
        </w:numPr>
      </w:pPr>
      <w:r>
        <w:t>Overall, consider opportunities for developing students’ critical thinking as well as the other key competencies, literacy skills (oral, written, visual), digital fluency and digital citizenship, cultural capabilities, inclusiveness of diversity,</w:t>
      </w:r>
      <w:r w:rsidRPr="00CC153D">
        <w:t xml:space="preserve"> </w:t>
      </w:r>
      <w:r>
        <w:t xml:space="preserve">and student agency.  </w:t>
      </w:r>
      <w:r w:rsidRPr="00A37372">
        <w:t xml:space="preserve">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D2530B" w14:paraId="6A373235" w14:textId="77777777" w:rsidTr="00D2530B">
        <w:tc>
          <w:tcPr>
            <w:tcW w:w="10490" w:type="dxa"/>
            <w:shd w:val="clear" w:color="auto" w:fill="EDEDED" w:themeFill="accent3" w:themeFillTint="33"/>
          </w:tcPr>
          <w:p w14:paraId="6DA1A9FA" w14:textId="77777777" w:rsidR="00D2530B" w:rsidRPr="00CC153D" w:rsidRDefault="00D2530B" w:rsidP="00C572CF">
            <w:pPr>
              <w:rPr>
                <w:b/>
                <w:sz w:val="24"/>
                <w:szCs w:val="24"/>
              </w:rPr>
            </w:pPr>
            <w:r w:rsidRPr="00CC153D">
              <w:rPr>
                <w:b/>
                <w:sz w:val="24"/>
                <w:szCs w:val="24"/>
              </w:rPr>
              <w:t xml:space="preserve">Also keep in mind ….. NCEA CHANGE PACKAGE 2. Mana </w:t>
            </w:r>
            <w:r>
              <w:rPr>
                <w:rFonts w:cstheme="minorHAnsi"/>
                <w:b/>
                <w:sz w:val="24"/>
                <w:szCs w:val="24"/>
              </w:rPr>
              <w:t>ō</w:t>
            </w:r>
            <w:r w:rsidRPr="00CC153D">
              <w:rPr>
                <w:b/>
                <w:sz w:val="24"/>
                <w:szCs w:val="24"/>
              </w:rPr>
              <w:t>rite mo te mātauranga Māori</w:t>
            </w:r>
            <w:r>
              <w:rPr>
                <w:b/>
                <w:sz w:val="24"/>
                <w:szCs w:val="24"/>
              </w:rPr>
              <w:t xml:space="preserve"> </w:t>
            </w:r>
            <w:r w:rsidRPr="00CC153D">
              <w:rPr>
                <w:i/>
                <w:sz w:val="24"/>
                <w:szCs w:val="24"/>
              </w:rPr>
              <w:t>(</w:t>
            </w:r>
            <w:r>
              <w:rPr>
                <w:i/>
                <w:sz w:val="24"/>
                <w:szCs w:val="24"/>
              </w:rPr>
              <w:t>~</w:t>
            </w:r>
            <w:r w:rsidRPr="00CC153D">
              <w:rPr>
                <w:i/>
                <w:sz w:val="24"/>
                <w:szCs w:val="24"/>
              </w:rPr>
              <w:t xml:space="preserve">equal status for Māori knowledge) </w:t>
            </w:r>
          </w:p>
          <w:p w14:paraId="6E02C637" w14:textId="77777777" w:rsidR="00D2530B" w:rsidRDefault="00D2530B" w:rsidP="00C572CF">
            <w:pPr>
              <w:rPr>
                <w:b/>
              </w:rPr>
            </w:pPr>
          </w:p>
          <w:p w14:paraId="7B7B297B" w14:textId="77777777" w:rsidR="00D515A7" w:rsidRPr="00D515A7" w:rsidRDefault="00D515A7" w:rsidP="00D515A7">
            <w:pPr>
              <w:rPr>
                <w:b/>
              </w:rPr>
            </w:pPr>
            <w:r w:rsidRPr="00D515A7">
              <w:rPr>
                <w:b/>
              </w:rPr>
              <w:t>Key changes</w:t>
            </w:r>
          </w:p>
          <w:p w14:paraId="3EF35D7A" w14:textId="77777777" w:rsidR="00D515A7" w:rsidRDefault="00D515A7" w:rsidP="00D515A7">
            <w:pPr>
              <w:pStyle w:val="ListParagraph"/>
              <w:numPr>
                <w:ilvl w:val="0"/>
                <w:numId w:val="12"/>
              </w:numPr>
            </w:pPr>
            <w:r>
              <w:t>Integrate te ao Māori and mātauranga Māori into the new ‘graduate profile’ for NCEA, and into the design of achievement standards.</w:t>
            </w:r>
          </w:p>
          <w:p w14:paraId="1955ECA9" w14:textId="77777777" w:rsidR="00D515A7" w:rsidRDefault="00D515A7" w:rsidP="00D515A7">
            <w:pPr>
              <w:pStyle w:val="ListParagraph"/>
              <w:numPr>
                <w:ilvl w:val="0"/>
                <w:numId w:val="12"/>
              </w:numPr>
            </w:pPr>
            <w:r>
              <w:t>Ensure equal support for ākonga Māori in all settings, and equal status for mātauranga Māori.</w:t>
            </w:r>
          </w:p>
          <w:p w14:paraId="1064D2FC" w14:textId="77777777" w:rsidR="00D515A7" w:rsidRDefault="00D515A7" w:rsidP="00D515A7">
            <w:pPr>
              <w:pStyle w:val="ListParagraph"/>
              <w:numPr>
                <w:ilvl w:val="0"/>
                <w:numId w:val="12"/>
              </w:numPr>
            </w:pPr>
            <w:r>
              <w:t>Develop more subjects to make sure that te ao Māori pathways are acknowledged and supported equally in NCEA (e.g. Māori Performing Arts).</w:t>
            </w:r>
          </w:p>
          <w:p w14:paraId="06FEBAE2" w14:textId="77777777" w:rsidR="00D515A7" w:rsidRPr="00D515A7" w:rsidRDefault="00D515A7" w:rsidP="00D515A7">
            <w:pPr>
              <w:pStyle w:val="ListParagraph"/>
              <w:numPr>
                <w:ilvl w:val="0"/>
                <w:numId w:val="12"/>
              </w:numPr>
              <w:rPr>
                <w:color w:val="0070C0"/>
              </w:rPr>
            </w:pPr>
            <w:r w:rsidRPr="00D515A7">
              <w:rPr>
                <w:color w:val="0070C0"/>
              </w:rPr>
              <w:t>Ensuring that, where possible and appropriate, te ao Māori and mātauranga Māori are built into achievement standards for use across English and Māori-medium settings. That might mean:</w:t>
            </w:r>
          </w:p>
          <w:p w14:paraId="75541F74" w14:textId="77777777" w:rsidR="00D515A7" w:rsidRPr="00D515A7" w:rsidRDefault="00D515A7" w:rsidP="00D515A7">
            <w:pPr>
              <w:pStyle w:val="ListParagraph"/>
              <w:numPr>
                <w:ilvl w:val="0"/>
                <w:numId w:val="13"/>
              </w:numPr>
              <w:ind w:left="1026" w:hanging="283"/>
              <w:rPr>
                <w:color w:val="0070C0"/>
              </w:rPr>
            </w:pPr>
            <w:r w:rsidRPr="00D515A7">
              <w:rPr>
                <w:color w:val="0070C0"/>
              </w:rPr>
              <w:t>Having Māori-centred contexts for exemplars and assessment resources (e.g. local iwi history).</w:t>
            </w:r>
          </w:p>
          <w:p w14:paraId="37479D8D" w14:textId="77777777" w:rsidR="00D515A7" w:rsidRPr="00D515A7" w:rsidRDefault="00D515A7" w:rsidP="00D515A7">
            <w:pPr>
              <w:pStyle w:val="ListParagraph"/>
              <w:numPr>
                <w:ilvl w:val="0"/>
                <w:numId w:val="13"/>
              </w:numPr>
              <w:ind w:left="1026" w:hanging="283"/>
              <w:rPr>
                <w:color w:val="0070C0"/>
              </w:rPr>
            </w:pPr>
            <w:r w:rsidRPr="00D515A7">
              <w:rPr>
                <w:color w:val="0070C0"/>
              </w:rPr>
              <w:t>Designing more inclusive standards and assessment resources that allow for diverse cultural perspectives on what’s important (e.g. considering community or hapū impact, not just individual user needs.</w:t>
            </w:r>
          </w:p>
          <w:p w14:paraId="5174002A" w14:textId="77777777" w:rsidR="00D2530B" w:rsidRDefault="00D515A7" w:rsidP="00D515A7">
            <w:pPr>
              <w:pStyle w:val="ListParagraph"/>
              <w:numPr>
                <w:ilvl w:val="0"/>
                <w:numId w:val="12"/>
              </w:numPr>
            </w:pPr>
            <w:r>
              <w:t>Build teacher capability around culturally inclusive NCEA and assessment and aromatawai practice that is inclusive of ākonga Māori.</w:t>
            </w:r>
          </w:p>
        </w:tc>
      </w:tr>
    </w:tbl>
    <w:p w14:paraId="628E0B1F" w14:textId="77777777" w:rsidR="00364FB5" w:rsidRDefault="00364FB5"/>
    <w:p w14:paraId="7E4D855E" w14:textId="77777777" w:rsidR="00364FB5" w:rsidRDefault="00364FB5">
      <w:r>
        <w:br w:type="page"/>
      </w:r>
    </w:p>
    <w:p w14:paraId="7F025092" w14:textId="77777777" w:rsidR="00364FB5" w:rsidRPr="00364FB5" w:rsidRDefault="00364FB5">
      <w:pPr>
        <w:rPr>
          <w:b/>
          <w:sz w:val="28"/>
          <w:szCs w:val="28"/>
        </w:rPr>
      </w:pPr>
      <w:r w:rsidRPr="00364FB5">
        <w:rPr>
          <w:b/>
          <w:sz w:val="28"/>
          <w:szCs w:val="28"/>
        </w:rPr>
        <w:lastRenderedPageBreak/>
        <w:t>Mapping activity:</w:t>
      </w:r>
    </w:p>
    <w:tbl>
      <w:tblPr>
        <w:tblStyle w:val="TableGrid"/>
        <w:tblW w:w="10466" w:type="dxa"/>
        <w:tblInd w:w="-5" w:type="dxa"/>
        <w:tblLook w:val="04A0" w:firstRow="1" w:lastRow="0" w:firstColumn="1" w:lastColumn="0" w:noHBand="0" w:noVBand="1"/>
      </w:tblPr>
      <w:tblGrid>
        <w:gridCol w:w="5387"/>
        <w:gridCol w:w="5079"/>
      </w:tblGrid>
      <w:tr w:rsidR="009B48FB" w14:paraId="0703A4F1" w14:textId="77777777" w:rsidTr="00364FB5">
        <w:tc>
          <w:tcPr>
            <w:tcW w:w="5387" w:type="dxa"/>
          </w:tcPr>
          <w:p w14:paraId="16D9E0C3" w14:textId="77777777" w:rsidR="00364FB5" w:rsidRDefault="00364FB5" w:rsidP="00364FB5">
            <w:r w:rsidRPr="00FE7494">
              <w:rPr>
                <w:b/>
              </w:rPr>
              <w:t>1.1</w:t>
            </w:r>
            <w:r>
              <w:t xml:space="preserve"> </w:t>
            </w:r>
            <w:r w:rsidRPr="00C572CF">
              <w:t>Demonstrate understanding of Te Whare Tapa Whā in context</w:t>
            </w:r>
          </w:p>
          <w:p w14:paraId="3F9045B9" w14:textId="77777777" w:rsidR="00364FB5" w:rsidRPr="00FE7494" w:rsidRDefault="00364FB5" w:rsidP="00364FB5">
            <w:pPr>
              <w:rPr>
                <w:b/>
                <w:color w:val="0070C0"/>
              </w:rPr>
            </w:pPr>
            <w:r w:rsidRPr="007320DC">
              <w:rPr>
                <w:color w:val="0070C0"/>
              </w:rPr>
              <w:t xml:space="preserve">Emphasis on the underlying concept of </w:t>
            </w:r>
            <w:r w:rsidRPr="007320DC">
              <w:rPr>
                <w:b/>
                <w:color w:val="0070C0"/>
              </w:rPr>
              <w:t>hauora</w:t>
            </w:r>
            <w:r>
              <w:rPr>
                <w:b/>
                <w:color w:val="0070C0"/>
              </w:rPr>
              <w:t xml:space="preserve"> </w:t>
            </w:r>
          </w:p>
          <w:p w14:paraId="1CCF9C7B" w14:textId="77777777" w:rsidR="009B48FB" w:rsidRPr="007320DC" w:rsidRDefault="00364FB5" w:rsidP="00364FB5">
            <w:pPr>
              <w:rPr>
                <w:b/>
                <w:color w:val="0070C0"/>
              </w:rPr>
            </w:pPr>
            <w:r>
              <w:t>5 credits internal</w:t>
            </w:r>
            <w:r w:rsidRPr="00AE2C09">
              <w:rPr>
                <w:b/>
              </w:rPr>
              <w:t xml:space="preserve"> </w:t>
            </w:r>
          </w:p>
          <w:p w14:paraId="63B2DF17" w14:textId="77777777" w:rsidR="009B48FB" w:rsidRDefault="009B48FB" w:rsidP="00C572CF">
            <w:pPr>
              <w:rPr>
                <w:i/>
                <w:color w:val="0070C0"/>
              </w:rPr>
            </w:pPr>
            <w:r w:rsidRPr="00363AAC">
              <w:rPr>
                <w:i/>
                <w:color w:val="0070C0"/>
              </w:rPr>
              <w:t xml:space="preserve">Key Capability </w:t>
            </w:r>
            <w:r w:rsidRPr="00363AAC">
              <w:rPr>
                <w:b/>
                <w:i/>
                <w:color w:val="0070C0"/>
              </w:rPr>
              <w:t>Making meaning</w:t>
            </w:r>
            <w:r>
              <w:rPr>
                <w:i/>
                <w:color w:val="0070C0"/>
              </w:rPr>
              <w:t xml:space="preserve"> </w:t>
            </w:r>
          </w:p>
          <w:p w14:paraId="60256F56" w14:textId="77777777" w:rsidR="009B48FB" w:rsidRDefault="009B48FB" w:rsidP="00C572CF"/>
          <w:p w14:paraId="172D2B5C" w14:textId="77777777" w:rsidR="009B48FB" w:rsidRDefault="009B48FB" w:rsidP="00C572CF"/>
          <w:p w14:paraId="3AE5183A" w14:textId="77777777" w:rsidR="009B48FB" w:rsidRDefault="009B48FB" w:rsidP="00C572CF"/>
          <w:p w14:paraId="01DF3E91" w14:textId="77777777" w:rsidR="009B48FB" w:rsidRDefault="009B48FB" w:rsidP="00C572CF"/>
          <w:p w14:paraId="6C6FFDD1" w14:textId="77777777" w:rsidR="009B48FB" w:rsidRDefault="009B48FB" w:rsidP="00C572CF"/>
          <w:p w14:paraId="1F691D29" w14:textId="77777777" w:rsidR="009B48FB" w:rsidRDefault="009B48FB" w:rsidP="00C572CF"/>
          <w:p w14:paraId="1E907D65" w14:textId="77777777" w:rsidR="009B48FB" w:rsidRDefault="009B48FB" w:rsidP="00C572CF"/>
          <w:p w14:paraId="28275AD1" w14:textId="77777777" w:rsidR="009B48FB" w:rsidRDefault="009B48FB" w:rsidP="00C572CF"/>
          <w:p w14:paraId="08D3D693" w14:textId="77777777" w:rsidR="009B48FB" w:rsidRDefault="009B48FB" w:rsidP="00C572CF"/>
          <w:p w14:paraId="41DB864A" w14:textId="77777777" w:rsidR="009B48FB" w:rsidRDefault="009B48FB" w:rsidP="00C572CF"/>
          <w:p w14:paraId="1DBBAA43" w14:textId="77777777" w:rsidR="009B48FB" w:rsidRDefault="009B48FB" w:rsidP="00C572CF"/>
          <w:p w14:paraId="437F9CF6" w14:textId="77777777" w:rsidR="009B48FB" w:rsidRDefault="009B48FB" w:rsidP="00C572CF"/>
          <w:p w14:paraId="11B5744B" w14:textId="77777777" w:rsidR="009B48FB" w:rsidRDefault="009B48FB" w:rsidP="00C572CF"/>
          <w:p w14:paraId="793B1C70" w14:textId="77777777" w:rsidR="009B48FB" w:rsidRDefault="009B48FB" w:rsidP="00C572CF"/>
          <w:p w14:paraId="6BBEE18E" w14:textId="77777777" w:rsidR="009B48FB" w:rsidRDefault="009B48FB" w:rsidP="00C572CF"/>
          <w:p w14:paraId="14E001F2" w14:textId="77777777" w:rsidR="009B48FB" w:rsidRDefault="009B48FB" w:rsidP="00C572CF"/>
        </w:tc>
        <w:tc>
          <w:tcPr>
            <w:tcW w:w="5079" w:type="dxa"/>
          </w:tcPr>
          <w:p w14:paraId="70B7500B" w14:textId="77777777" w:rsidR="00364FB5" w:rsidRDefault="00364FB5" w:rsidP="00364FB5">
            <w:r w:rsidRPr="00FE7494">
              <w:rPr>
                <w:b/>
              </w:rPr>
              <w:t>1.2</w:t>
            </w:r>
            <w:r>
              <w:t xml:space="preserve"> </w:t>
            </w:r>
            <w:r w:rsidRPr="00C572CF">
              <w:t>Demonstrate understanding of an action to enhance hauora</w:t>
            </w:r>
          </w:p>
          <w:p w14:paraId="43869980" w14:textId="77777777" w:rsidR="00364FB5" w:rsidRPr="00FE7494" w:rsidRDefault="00364FB5" w:rsidP="00364FB5">
            <w:pPr>
              <w:rPr>
                <w:color w:val="0070C0"/>
              </w:rPr>
            </w:pPr>
            <w:r w:rsidRPr="007320DC">
              <w:rPr>
                <w:color w:val="0070C0"/>
              </w:rPr>
              <w:t xml:space="preserve">Emphasis on the underlying concept of </w:t>
            </w:r>
            <w:r w:rsidRPr="007320DC">
              <w:rPr>
                <w:b/>
                <w:color w:val="0070C0"/>
              </w:rPr>
              <w:t>health promotion</w:t>
            </w:r>
            <w:r>
              <w:rPr>
                <w:color w:val="0070C0"/>
              </w:rPr>
              <w:t xml:space="preserve"> </w:t>
            </w:r>
          </w:p>
          <w:p w14:paraId="1DBBA5BC" w14:textId="77777777" w:rsidR="00364FB5" w:rsidRDefault="00364FB5" w:rsidP="00364FB5">
            <w:r>
              <w:t>5 credits internal</w:t>
            </w:r>
          </w:p>
          <w:p w14:paraId="42D1D5CB" w14:textId="77777777" w:rsidR="009B48FB" w:rsidRPr="0079481D" w:rsidRDefault="00364FB5" w:rsidP="00364FB5">
            <w:pPr>
              <w:rPr>
                <w:i/>
                <w:color w:val="0070C0"/>
              </w:rPr>
            </w:pPr>
            <w:r w:rsidRPr="00363AAC">
              <w:rPr>
                <w:i/>
                <w:color w:val="0070C0"/>
              </w:rPr>
              <w:t xml:space="preserve"> </w:t>
            </w:r>
            <w:r w:rsidR="009B48FB" w:rsidRPr="00363AAC">
              <w:rPr>
                <w:i/>
                <w:color w:val="0070C0"/>
              </w:rPr>
              <w:t xml:space="preserve">Key Capability </w:t>
            </w:r>
            <w:r w:rsidR="009B48FB">
              <w:rPr>
                <w:b/>
                <w:i/>
                <w:color w:val="0070C0"/>
              </w:rPr>
              <w:t>Taking action</w:t>
            </w:r>
            <w:r w:rsidR="009B48FB">
              <w:rPr>
                <w:i/>
                <w:color w:val="0070C0"/>
              </w:rPr>
              <w:t xml:space="preserve"> </w:t>
            </w:r>
          </w:p>
        </w:tc>
      </w:tr>
      <w:tr w:rsidR="009B48FB" w14:paraId="11AD2FB3" w14:textId="77777777" w:rsidTr="00364FB5">
        <w:tc>
          <w:tcPr>
            <w:tcW w:w="5387" w:type="dxa"/>
          </w:tcPr>
          <w:p w14:paraId="31DB5D03" w14:textId="77777777" w:rsidR="00364FB5" w:rsidRDefault="00364FB5" w:rsidP="00364FB5">
            <w:r w:rsidRPr="00FE7494">
              <w:rPr>
                <w:b/>
              </w:rPr>
              <w:t>1.3</w:t>
            </w:r>
            <w:r>
              <w:t xml:space="preserve"> </w:t>
            </w:r>
            <w:r w:rsidRPr="00C572CF">
              <w:t>Demonstrate understanding of factors that influence a wellbeing issue</w:t>
            </w:r>
          </w:p>
          <w:p w14:paraId="478BFD0D" w14:textId="77777777" w:rsidR="00364FB5" w:rsidRPr="00FE7494" w:rsidRDefault="00364FB5" w:rsidP="00364FB5">
            <w:pPr>
              <w:rPr>
                <w:b/>
                <w:color w:val="0070C0"/>
              </w:rPr>
            </w:pPr>
            <w:r w:rsidRPr="007320DC">
              <w:rPr>
                <w:color w:val="0070C0"/>
              </w:rPr>
              <w:t>Emphasis on the underlying concept of the</w:t>
            </w:r>
            <w:r>
              <w:rPr>
                <w:b/>
                <w:color w:val="0070C0"/>
              </w:rPr>
              <w:t xml:space="preserve"> socio-ecological perspective </w:t>
            </w:r>
          </w:p>
          <w:p w14:paraId="6077C811" w14:textId="77777777" w:rsidR="00364FB5" w:rsidRDefault="00364FB5" w:rsidP="00364FB5">
            <w:pPr>
              <w:rPr>
                <w:i/>
                <w:color w:val="0070C0"/>
              </w:rPr>
            </w:pPr>
            <w:r>
              <w:t>5 credits external</w:t>
            </w:r>
            <w:r w:rsidRPr="00363AAC">
              <w:rPr>
                <w:i/>
                <w:color w:val="0070C0"/>
              </w:rPr>
              <w:t xml:space="preserve"> </w:t>
            </w:r>
          </w:p>
          <w:p w14:paraId="6E43270A" w14:textId="77777777" w:rsidR="009B48FB" w:rsidRPr="0079481D" w:rsidRDefault="009B48FB" w:rsidP="00364FB5">
            <w:pPr>
              <w:rPr>
                <w:i/>
                <w:color w:val="0070C0"/>
              </w:rPr>
            </w:pPr>
            <w:r w:rsidRPr="00363AAC">
              <w:rPr>
                <w:i/>
                <w:color w:val="0070C0"/>
              </w:rPr>
              <w:t xml:space="preserve">Key Capability </w:t>
            </w:r>
            <w:r>
              <w:rPr>
                <w:b/>
                <w:i/>
                <w:color w:val="0070C0"/>
              </w:rPr>
              <w:t>Critical Inquiry</w:t>
            </w:r>
          </w:p>
          <w:p w14:paraId="213D95EF" w14:textId="77777777" w:rsidR="009B48FB" w:rsidRDefault="009B48FB" w:rsidP="00C572CF"/>
          <w:p w14:paraId="52ADA97F" w14:textId="77777777" w:rsidR="009B48FB" w:rsidRDefault="009B48FB" w:rsidP="00C572CF"/>
          <w:p w14:paraId="6B4C4566" w14:textId="77777777" w:rsidR="009B48FB" w:rsidRDefault="009B48FB" w:rsidP="00C572CF"/>
          <w:p w14:paraId="680F5935" w14:textId="77777777" w:rsidR="009B48FB" w:rsidRDefault="009B48FB" w:rsidP="00C572CF"/>
          <w:p w14:paraId="2FDE2989" w14:textId="77777777" w:rsidR="009B48FB" w:rsidRDefault="009B48FB" w:rsidP="00C572CF"/>
          <w:p w14:paraId="78EC3A18" w14:textId="77777777" w:rsidR="009B48FB" w:rsidRDefault="009B48FB" w:rsidP="00C572CF"/>
          <w:p w14:paraId="197D95F2" w14:textId="77777777" w:rsidR="009B48FB" w:rsidRDefault="009B48FB" w:rsidP="00C572CF"/>
          <w:p w14:paraId="01EE15B2" w14:textId="77777777" w:rsidR="009B48FB" w:rsidRDefault="009B48FB" w:rsidP="00C572CF"/>
          <w:p w14:paraId="25C30AA8" w14:textId="77777777" w:rsidR="009B48FB" w:rsidRDefault="009B48FB" w:rsidP="00C572CF"/>
          <w:p w14:paraId="467CA354" w14:textId="77777777" w:rsidR="009B48FB" w:rsidRDefault="009B48FB" w:rsidP="00C572CF"/>
          <w:p w14:paraId="3692A542" w14:textId="77777777" w:rsidR="009B48FB" w:rsidRDefault="009B48FB" w:rsidP="00C572CF"/>
          <w:p w14:paraId="32DAA35A" w14:textId="77777777" w:rsidR="009B48FB" w:rsidRDefault="009B48FB" w:rsidP="00C572CF"/>
          <w:p w14:paraId="08B98D63" w14:textId="77777777" w:rsidR="009B48FB" w:rsidRDefault="009B48FB" w:rsidP="00C572CF"/>
          <w:p w14:paraId="5171D2B3" w14:textId="77777777" w:rsidR="009B48FB" w:rsidRDefault="009B48FB" w:rsidP="00C572CF"/>
          <w:p w14:paraId="16ACFEA9" w14:textId="77777777" w:rsidR="009B48FB" w:rsidRDefault="009B48FB" w:rsidP="00C572CF"/>
          <w:p w14:paraId="05B266E0" w14:textId="77777777" w:rsidR="009B48FB" w:rsidRDefault="009B48FB" w:rsidP="00C572CF"/>
          <w:p w14:paraId="28214BCF" w14:textId="77777777" w:rsidR="009B48FB" w:rsidRDefault="009B48FB" w:rsidP="00C572CF"/>
        </w:tc>
        <w:tc>
          <w:tcPr>
            <w:tcW w:w="5079" w:type="dxa"/>
          </w:tcPr>
          <w:p w14:paraId="20661307" w14:textId="77777777" w:rsidR="00364FB5" w:rsidRDefault="00364FB5" w:rsidP="00364FB5">
            <w:r w:rsidRPr="00FE7494">
              <w:rPr>
                <w:b/>
              </w:rPr>
              <w:t>1.4</w:t>
            </w:r>
            <w:r>
              <w:t xml:space="preserve"> </w:t>
            </w:r>
            <w:r w:rsidRPr="00C572CF">
              <w:t>Demonstrate understanding of strategies that enhance hauora</w:t>
            </w:r>
          </w:p>
          <w:p w14:paraId="06F4AA52" w14:textId="77777777" w:rsidR="00364FB5" w:rsidRPr="00FE7494" w:rsidRDefault="00364FB5" w:rsidP="00364FB5">
            <w:pPr>
              <w:rPr>
                <w:color w:val="0070C0"/>
              </w:rPr>
            </w:pPr>
            <w:r w:rsidRPr="007320DC">
              <w:rPr>
                <w:color w:val="0070C0"/>
              </w:rPr>
              <w:t xml:space="preserve">Emphasis on the underlying concept of </w:t>
            </w:r>
            <w:r w:rsidRPr="007320DC">
              <w:rPr>
                <w:b/>
                <w:color w:val="0070C0"/>
              </w:rPr>
              <w:t>attitudes and values</w:t>
            </w:r>
            <w:r w:rsidRPr="007320DC">
              <w:rPr>
                <w:color w:val="0070C0"/>
              </w:rPr>
              <w:t xml:space="preserve"> </w:t>
            </w:r>
            <w:r w:rsidRPr="00FE7494">
              <w:rPr>
                <w:i/>
                <w:color w:val="0070C0"/>
              </w:rPr>
              <w:t>(in context of strategies for taking action to promote wellbeing)</w:t>
            </w:r>
            <w:r>
              <w:rPr>
                <w:color w:val="0070C0"/>
              </w:rPr>
              <w:t xml:space="preserve"> </w:t>
            </w:r>
          </w:p>
          <w:p w14:paraId="7336B6CC" w14:textId="77777777" w:rsidR="00364FB5" w:rsidRDefault="00364FB5" w:rsidP="00364FB5">
            <w:pPr>
              <w:rPr>
                <w:i/>
                <w:color w:val="0070C0"/>
              </w:rPr>
            </w:pPr>
            <w:r>
              <w:t>5 credits external</w:t>
            </w:r>
            <w:r w:rsidRPr="00363AAC">
              <w:rPr>
                <w:i/>
                <w:color w:val="0070C0"/>
              </w:rPr>
              <w:t xml:space="preserve"> </w:t>
            </w:r>
          </w:p>
          <w:p w14:paraId="150F93FE" w14:textId="77777777" w:rsidR="009B48FB" w:rsidRDefault="009B48FB" w:rsidP="00364FB5">
            <w:r w:rsidRPr="00363AAC">
              <w:rPr>
                <w:i/>
                <w:color w:val="0070C0"/>
              </w:rPr>
              <w:t xml:space="preserve">Key Capability </w:t>
            </w:r>
            <w:r>
              <w:rPr>
                <w:b/>
                <w:i/>
                <w:color w:val="0070C0"/>
              </w:rPr>
              <w:t>perspective taking</w:t>
            </w:r>
          </w:p>
        </w:tc>
      </w:tr>
    </w:tbl>
    <w:p w14:paraId="3C0B90E3" w14:textId="77777777" w:rsidR="009B48FB" w:rsidRDefault="00FE7494">
      <w:r>
        <w:t xml:space="preserve">The addition of the </w:t>
      </w:r>
      <w:r w:rsidRPr="00364FB5">
        <w:rPr>
          <w:b/>
        </w:rPr>
        <w:t>Key Capabilities</w:t>
      </w:r>
      <w:r>
        <w:t xml:space="preserve"> here is more a ‘background’ understanding and was used for some initial framing of the standards</w:t>
      </w:r>
      <w:r w:rsidR="00364FB5">
        <w:t xml:space="preserve"> to think about the various ways the standards would be different, and avoid reassessing the same ideas in a different way</w:t>
      </w:r>
      <w:r>
        <w:t xml:space="preserve">. </w:t>
      </w:r>
      <w:r w:rsidR="00364FB5">
        <w:t xml:space="preserve">If interested, more information about the key capabilities can be found in </w:t>
      </w:r>
      <w:r w:rsidR="00364FB5" w:rsidRPr="00364FB5">
        <w:t>Coherent Pathways Guidance</w:t>
      </w:r>
      <w:r w:rsidR="00364FB5">
        <w:t xml:space="preserve"> </w:t>
      </w:r>
      <w:hyperlink r:id="rId12" w:history="1">
        <w:r w:rsidR="00364FB5" w:rsidRPr="0063058E">
          <w:rPr>
            <w:rStyle w:val="Hyperlink"/>
          </w:rPr>
          <w:t>https://curriculumtool.education.govt.nz/en/Home/PathwaysGuidance/99200</w:t>
        </w:r>
      </w:hyperlink>
      <w:r w:rsidR="00364FB5">
        <w:t xml:space="preserve"> </w:t>
      </w:r>
      <w:r w:rsidR="009B48FB">
        <w:br w:type="page"/>
      </w:r>
    </w:p>
    <w:p w14:paraId="22C22A69" w14:textId="77777777" w:rsidR="009B48FB" w:rsidRDefault="009B48FB" w:rsidP="009B48FB">
      <w:pPr>
        <w:jc w:val="center"/>
        <w:rPr>
          <w:b/>
          <w:sz w:val="28"/>
          <w:szCs w:val="28"/>
        </w:rPr>
        <w:sectPr w:rsidR="009B48FB" w:rsidSect="009B48FB">
          <w:pgSz w:w="11906" w:h="16838"/>
          <w:pgMar w:top="720" w:right="720" w:bottom="720" w:left="720" w:header="708" w:footer="708" w:gutter="0"/>
          <w:cols w:space="708"/>
          <w:docGrid w:linePitch="360"/>
        </w:sectPr>
      </w:pPr>
    </w:p>
    <w:p w14:paraId="0DE1BEBC" w14:textId="77777777" w:rsidR="004A72C8" w:rsidRPr="004A72C8" w:rsidRDefault="004A72C8" w:rsidP="004A72C8">
      <w:pPr>
        <w:pStyle w:val="Heading1"/>
        <w:rPr>
          <w:rFonts w:asciiTheme="minorHAnsi" w:hAnsiTheme="minorHAnsi" w:cstheme="minorHAnsi"/>
          <w:b/>
          <w:bCs/>
          <w:color w:val="FF0000"/>
          <w:w w:val="110"/>
        </w:rPr>
      </w:pPr>
      <w:r w:rsidRPr="004A72C8">
        <w:rPr>
          <w:rFonts w:asciiTheme="minorHAnsi" w:hAnsiTheme="minorHAnsi" w:cstheme="minorHAnsi"/>
          <w:b/>
          <w:bCs/>
          <w:w w:val="110"/>
        </w:rPr>
        <w:lastRenderedPageBreak/>
        <w:t xml:space="preserve">Health Education (with Home Economics) Level 1 Course Outline: </w:t>
      </w:r>
      <w:r w:rsidRPr="004A72C8">
        <w:rPr>
          <w:rFonts w:asciiTheme="minorHAnsi" w:hAnsiTheme="minorHAnsi" w:cstheme="minorHAnsi"/>
          <w:b/>
          <w:bCs/>
          <w:color w:val="FF0000"/>
          <w:w w:val="110"/>
        </w:rPr>
        <w:t>[Course title or theme]</w:t>
      </w:r>
    </w:p>
    <w:p w14:paraId="285EFBCE" w14:textId="77777777" w:rsidR="004A72C8" w:rsidRPr="004A72C8" w:rsidRDefault="004A72C8" w:rsidP="004A72C8">
      <w:pPr>
        <w:rPr>
          <w:rFonts w:cstheme="minorHAnsi"/>
        </w:rPr>
      </w:pPr>
    </w:p>
    <w:tbl>
      <w:tblPr>
        <w:tblStyle w:val="TableGrid"/>
        <w:tblW w:w="15401" w:type="dxa"/>
        <w:tblLayout w:type="fixed"/>
        <w:tblLook w:val="04A0" w:firstRow="1" w:lastRow="0" w:firstColumn="1" w:lastColumn="0" w:noHBand="0" w:noVBand="1"/>
      </w:tblPr>
      <w:tblGrid>
        <w:gridCol w:w="2477"/>
        <w:gridCol w:w="11477"/>
        <w:gridCol w:w="1447"/>
      </w:tblGrid>
      <w:tr w:rsidR="004A72C8" w:rsidRPr="004A72C8" w14:paraId="05F8EBCF" w14:textId="77777777" w:rsidTr="004A72C8">
        <w:trPr>
          <w:trHeight w:val="767"/>
        </w:trPr>
        <w:tc>
          <w:tcPr>
            <w:tcW w:w="2477" w:type="dxa"/>
            <w:shd w:val="clear" w:color="auto" w:fill="DEEAF6" w:themeFill="accent1" w:themeFillTint="33"/>
          </w:tcPr>
          <w:p w14:paraId="5EEEC894" w14:textId="77777777" w:rsidR="004A72C8" w:rsidRPr="004A72C8" w:rsidRDefault="004A72C8" w:rsidP="00637620">
            <w:pPr>
              <w:pStyle w:val="BodyText"/>
              <w:tabs>
                <w:tab w:val="left" w:pos="3700"/>
              </w:tabs>
              <w:spacing w:line="240" w:lineRule="auto"/>
              <w:ind w:right="286"/>
              <w:rPr>
                <w:rFonts w:asciiTheme="minorHAnsi" w:hAnsiTheme="minorHAnsi" w:cstheme="minorHAnsi"/>
                <w:b/>
                <w:color w:val="231F20"/>
                <w:sz w:val="22"/>
                <w:szCs w:val="22"/>
              </w:rPr>
            </w:pPr>
            <w:r w:rsidRPr="004A72C8">
              <w:rPr>
                <w:rFonts w:asciiTheme="minorHAnsi" w:hAnsiTheme="minorHAnsi" w:cstheme="minorHAnsi"/>
                <w:b/>
                <w:color w:val="231F20"/>
                <w:sz w:val="22"/>
                <w:szCs w:val="22"/>
              </w:rPr>
              <w:t>Significant Learning</w:t>
            </w:r>
          </w:p>
        </w:tc>
        <w:tc>
          <w:tcPr>
            <w:tcW w:w="11477" w:type="dxa"/>
            <w:shd w:val="clear" w:color="auto" w:fill="DEEAF6" w:themeFill="accent1" w:themeFillTint="33"/>
          </w:tcPr>
          <w:p w14:paraId="0991BF32" w14:textId="77777777" w:rsidR="004A72C8" w:rsidRPr="004A72C8" w:rsidRDefault="004A72C8" w:rsidP="004A72C8">
            <w:pPr>
              <w:pStyle w:val="BodyText"/>
              <w:tabs>
                <w:tab w:val="left" w:pos="3700"/>
              </w:tabs>
              <w:spacing w:line="240" w:lineRule="auto"/>
              <w:ind w:right="286"/>
              <w:rPr>
                <w:rFonts w:asciiTheme="minorHAnsi" w:hAnsiTheme="minorHAnsi" w:cstheme="minorHAnsi"/>
                <w:b/>
                <w:color w:val="231F20"/>
                <w:sz w:val="22"/>
                <w:szCs w:val="22"/>
              </w:rPr>
            </w:pPr>
            <w:r w:rsidRPr="004A72C8">
              <w:rPr>
                <w:rFonts w:asciiTheme="minorHAnsi" w:hAnsiTheme="minorHAnsi" w:cstheme="minorHAnsi"/>
                <w:b/>
                <w:color w:val="231F20"/>
                <w:sz w:val="22"/>
                <w:szCs w:val="22"/>
              </w:rPr>
              <w:t>Learning activities and assessment opportunities</w:t>
            </w:r>
          </w:p>
        </w:tc>
        <w:tc>
          <w:tcPr>
            <w:tcW w:w="1447" w:type="dxa"/>
            <w:shd w:val="clear" w:color="auto" w:fill="DEEAF6" w:themeFill="accent1" w:themeFillTint="33"/>
          </w:tcPr>
          <w:p w14:paraId="37608415" w14:textId="77777777" w:rsidR="004A72C8" w:rsidRPr="004A72C8" w:rsidRDefault="004A72C8" w:rsidP="00637620">
            <w:pPr>
              <w:pStyle w:val="BodyText"/>
              <w:tabs>
                <w:tab w:val="left" w:pos="3700"/>
              </w:tabs>
              <w:spacing w:line="240" w:lineRule="auto"/>
              <w:ind w:right="286"/>
              <w:rPr>
                <w:rFonts w:asciiTheme="minorHAnsi" w:hAnsiTheme="minorHAnsi" w:cstheme="minorHAnsi"/>
                <w:b/>
                <w:color w:val="231F20"/>
                <w:sz w:val="22"/>
                <w:szCs w:val="22"/>
              </w:rPr>
            </w:pPr>
            <w:r w:rsidRPr="004A72C8">
              <w:rPr>
                <w:rFonts w:asciiTheme="minorHAnsi" w:hAnsiTheme="minorHAnsi" w:cstheme="minorHAnsi"/>
                <w:b/>
                <w:color w:val="231F20"/>
                <w:sz w:val="22"/>
                <w:szCs w:val="22"/>
              </w:rPr>
              <w:t xml:space="preserve">Duration </w:t>
            </w:r>
          </w:p>
          <w:p w14:paraId="0CB7E5D6" w14:textId="77777777" w:rsidR="004A72C8" w:rsidRPr="004A72C8" w:rsidRDefault="004A72C8" w:rsidP="00637620">
            <w:pPr>
              <w:pStyle w:val="BodyText"/>
              <w:tabs>
                <w:tab w:val="left" w:pos="3700"/>
              </w:tabs>
              <w:spacing w:line="240" w:lineRule="auto"/>
              <w:ind w:right="286"/>
              <w:rPr>
                <w:rFonts w:asciiTheme="minorHAnsi" w:hAnsiTheme="minorHAnsi" w:cstheme="minorHAnsi"/>
                <w:b/>
                <w:color w:val="231F20"/>
                <w:sz w:val="22"/>
                <w:szCs w:val="22"/>
              </w:rPr>
            </w:pPr>
            <w:r w:rsidRPr="004A72C8">
              <w:rPr>
                <w:rFonts w:asciiTheme="minorHAnsi" w:hAnsiTheme="minorHAnsi" w:cstheme="minorHAnsi"/>
                <w:bCs/>
                <w:color w:val="C00000"/>
                <w:sz w:val="22"/>
                <w:szCs w:val="22"/>
              </w:rPr>
              <w:t>Total of 32 weeks</w:t>
            </w:r>
            <w:r w:rsidRPr="004A72C8">
              <w:rPr>
                <w:rFonts w:asciiTheme="minorHAnsi" w:hAnsiTheme="minorHAnsi" w:cstheme="minorHAnsi"/>
                <w:b/>
                <w:color w:val="C00000"/>
                <w:sz w:val="22"/>
                <w:szCs w:val="22"/>
              </w:rPr>
              <w:t xml:space="preserve">  </w:t>
            </w:r>
          </w:p>
        </w:tc>
      </w:tr>
      <w:tr w:rsidR="004A72C8" w:rsidRPr="004A72C8" w14:paraId="40043E3F" w14:textId="77777777" w:rsidTr="004A72C8">
        <w:trPr>
          <w:cantSplit/>
          <w:trHeight w:val="1079"/>
        </w:trPr>
        <w:tc>
          <w:tcPr>
            <w:tcW w:w="2477" w:type="dxa"/>
            <w:shd w:val="clear" w:color="auto" w:fill="auto"/>
          </w:tcPr>
          <w:p w14:paraId="397B05FE" w14:textId="77777777" w:rsidR="004A72C8" w:rsidRPr="004A72C8" w:rsidRDefault="004A72C8" w:rsidP="00637620">
            <w:pPr>
              <w:pStyle w:val="BodyText"/>
              <w:spacing w:line="240" w:lineRule="auto"/>
              <w:ind w:right="30"/>
              <w:rPr>
                <w:rFonts w:asciiTheme="minorHAnsi" w:hAnsiTheme="minorHAnsi" w:cstheme="minorHAnsi"/>
                <w:color w:val="000000"/>
                <w:sz w:val="22"/>
                <w:szCs w:val="22"/>
              </w:rPr>
            </w:pPr>
          </w:p>
          <w:p w14:paraId="3FA1B80A" w14:textId="77777777" w:rsidR="004A72C8" w:rsidRPr="004A72C8" w:rsidRDefault="004A72C8" w:rsidP="00637620">
            <w:pPr>
              <w:pBdr>
                <w:top w:val="nil"/>
                <w:left w:val="nil"/>
                <w:bottom w:val="nil"/>
                <w:right w:val="nil"/>
                <w:between w:val="nil"/>
              </w:pBdr>
              <w:rPr>
                <w:rFonts w:cstheme="minorHAnsi"/>
                <w:color w:val="000000"/>
              </w:rPr>
            </w:pPr>
          </w:p>
        </w:tc>
        <w:tc>
          <w:tcPr>
            <w:tcW w:w="11477" w:type="dxa"/>
            <w:shd w:val="clear" w:color="auto" w:fill="auto"/>
          </w:tcPr>
          <w:p w14:paraId="3A1E3E83" w14:textId="77777777" w:rsidR="004A72C8" w:rsidRPr="004A72C8" w:rsidRDefault="004A72C8" w:rsidP="00637620">
            <w:pPr>
              <w:ind w:right="30"/>
              <w:rPr>
                <w:rFonts w:cstheme="minorHAnsi"/>
                <w:b/>
                <w:bCs/>
                <w:color w:val="231F20"/>
              </w:rPr>
            </w:pPr>
            <w:r w:rsidRPr="004A72C8">
              <w:rPr>
                <w:rFonts w:cstheme="minorHAnsi"/>
                <w:b/>
                <w:bCs/>
                <w:color w:val="231F20"/>
              </w:rPr>
              <w:t xml:space="preserve">Course introduction </w:t>
            </w:r>
          </w:p>
        </w:tc>
        <w:tc>
          <w:tcPr>
            <w:tcW w:w="1447" w:type="dxa"/>
          </w:tcPr>
          <w:p w14:paraId="3550EA21" w14:textId="77777777" w:rsidR="004A72C8" w:rsidRPr="004A72C8" w:rsidRDefault="004A72C8" w:rsidP="00637620">
            <w:pPr>
              <w:pStyle w:val="BodyText"/>
              <w:spacing w:line="240" w:lineRule="auto"/>
              <w:ind w:right="30"/>
              <w:rPr>
                <w:rFonts w:asciiTheme="minorHAnsi" w:hAnsiTheme="minorHAnsi" w:cstheme="minorHAnsi"/>
                <w:bCs/>
                <w:color w:val="231F20"/>
                <w:sz w:val="22"/>
                <w:szCs w:val="22"/>
              </w:rPr>
            </w:pPr>
          </w:p>
          <w:p w14:paraId="7C32B2DA" w14:textId="77777777" w:rsidR="004A72C8" w:rsidRPr="004A72C8" w:rsidRDefault="004A72C8" w:rsidP="00637620">
            <w:pPr>
              <w:pStyle w:val="BodyText"/>
              <w:spacing w:line="240" w:lineRule="auto"/>
              <w:ind w:right="30"/>
              <w:rPr>
                <w:rFonts w:asciiTheme="minorHAnsi" w:hAnsiTheme="minorHAnsi" w:cstheme="minorHAnsi"/>
                <w:bCs/>
                <w:color w:val="231F20"/>
                <w:sz w:val="22"/>
                <w:szCs w:val="22"/>
              </w:rPr>
            </w:pPr>
            <w:r w:rsidRPr="004A72C8">
              <w:rPr>
                <w:rFonts w:asciiTheme="minorHAnsi" w:hAnsiTheme="minorHAnsi" w:cstheme="minorHAnsi"/>
                <w:bCs/>
                <w:color w:val="231F20"/>
                <w:sz w:val="22"/>
                <w:szCs w:val="22"/>
              </w:rPr>
              <w:t xml:space="preserve">x weeks </w:t>
            </w:r>
          </w:p>
        </w:tc>
      </w:tr>
      <w:tr w:rsidR="004A72C8" w:rsidRPr="004A72C8" w14:paraId="221309B4" w14:textId="77777777" w:rsidTr="004A72C8">
        <w:trPr>
          <w:cantSplit/>
          <w:trHeight w:val="1051"/>
        </w:trPr>
        <w:tc>
          <w:tcPr>
            <w:tcW w:w="2477" w:type="dxa"/>
            <w:shd w:val="clear" w:color="auto" w:fill="auto"/>
          </w:tcPr>
          <w:p w14:paraId="7DD4C3D6" w14:textId="77777777" w:rsidR="004A72C8" w:rsidRPr="004A72C8" w:rsidRDefault="004A72C8" w:rsidP="00637620">
            <w:pPr>
              <w:pBdr>
                <w:top w:val="nil"/>
                <w:left w:val="nil"/>
                <w:bottom w:val="nil"/>
                <w:right w:val="nil"/>
                <w:between w:val="nil"/>
              </w:pBdr>
              <w:rPr>
                <w:rFonts w:cstheme="minorHAnsi"/>
                <w:color w:val="000000"/>
              </w:rPr>
            </w:pPr>
          </w:p>
        </w:tc>
        <w:tc>
          <w:tcPr>
            <w:tcW w:w="11477" w:type="dxa"/>
            <w:shd w:val="clear" w:color="auto" w:fill="auto"/>
          </w:tcPr>
          <w:p w14:paraId="6669D77C" w14:textId="77777777" w:rsidR="004A72C8" w:rsidRPr="004A72C8" w:rsidRDefault="004A72C8" w:rsidP="00637620">
            <w:pPr>
              <w:pStyle w:val="BodyText"/>
              <w:spacing w:line="240" w:lineRule="auto"/>
              <w:ind w:right="30"/>
              <w:rPr>
                <w:rFonts w:asciiTheme="minorHAnsi" w:hAnsiTheme="minorHAnsi" w:cstheme="minorHAnsi"/>
                <w:color w:val="231F20"/>
                <w:sz w:val="22"/>
                <w:szCs w:val="22"/>
              </w:rPr>
            </w:pPr>
            <w:r w:rsidRPr="004A72C8">
              <w:rPr>
                <w:rFonts w:asciiTheme="minorHAnsi" w:hAnsiTheme="minorHAnsi" w:cstheme="minorHAnsi"/>
                <w:color w:val="231F20"/>
                <w:sz w:val="22"/>
                <w:szCs w:val="22"/>
              </w:rPr>
              <w:t xml:space="preserve">Unit 1 </w:t>
            </w:r>
          </w:p>
          <w:p w14:paraId="057C9BDF" w14:textId="77777777" w:rsidR="004A72C8" w:rsidRPr="004A72C8" w:rsidRDefault="004A72C8" w:rsidP="00637620">
            <w:pPr>
              <w:pStyle w:val="BodyText"/>
              <w:spacing w:line="240" w:lineRule="auto"/>
              <w:ind w:right="30"/>
              <w:rPr>
                <w:rFonts w:asciiTheme="minorHAnsi" w:hAnsiTheme="minorHAnsi" w:cstheme="minorHAnsi"/>
                <w:color w:val="231F20"/>
                <w:sz w:val="22"/>
                <w:szCs w:val="22"/>
              </w:rPr>
            </w:pPr>
          </w:p>
          <w:p w14:paraId="18747C1A" w14:textId="77777777" w:rsidR="004A72C8" w:rsidRPr="004A72C8" w:rsidRDefault="004A72C8" w:rsidP="00637620">
            <w:pPr>
              <w:rPr>
                <w:rFonts w:cstheme="minorHAnsi"/>
                <w:b/>
                <w:bCs/>
                <w:color w:val="FF0000"/>
              </w:rPr>
            </w:pPr>
          </w:p>
        </w:tc>
        <w:tc>
          <w:tcPr>
            <w:tcW w:w="1447" w:type="dxa"/>
          </w:tcPr>
          <w:p w14:paraId="47C9ACDD" w14:textId="77777777" w:rsidR="004A72C8" w:rsidRPr="004A72C8" w:rsidRDefault="004A72C8" w:rsidP="00637620">
            <w:pPr>
              <w:pStyle w:val="BodyText"/>
              <w:spacing w:line="240" w:lineRule="auto"/>
              <w:ind w:right="30"/>
              <w:rPr>
                <w:rFonts w:asciiTheme="minorHAnsi" w:hAnsiTheme="minorHAnsi" w:cstheme="minorHAnsi"/>
                <w:color w:val="231F20"/>
                <w:sz w:val="22"/>
                <w:szCs w:val="22"/>
              </w:rPr>
            </w:pPr>
          </w:p>
          <w:p w14:paraId="1EF975B3" w14:textId="77777777" w:rsidR="004A72C8" w:rsidRPr="004A72C8" w:rsidRDefault="004A72C8" w:rsidP="00637620">
            <w:pPr>
              <w:pStyle w:val="BodyText"/>
              <w:spacing w:line="240" w:lineRule="auto"/>
              <w:ind w:right="30"/>
              <w:rPr>
                <w:rFonts w:asciiTheme="minorHAnsi" w:hAnsiTheme="minorHAnsi" w:cstheme="minorHAnsi"/>
                <w:color w:val="231F20"/>
                <w:sz w:val="22"/>
                <w:szCs w:val="22"/>
              </w:rPr>
            </w:pPr>
          </w:p>
          <w:p w14:paraId="63251E94" w14:textId="77777777" w:rsidR="004A72C8" w:rsidRPr="004A72C8" w:rsidRDefault="004A72C8" w:rsidP="00637620">
            <w:pPr>
              <w:pStyle w:val="BodyText"/>
              <w:spacing w:line="240" w:lineRule="auto"/>
              <w:ind w:right="30"/>
              <w:rPr>
                <w:rFonts w:asciiTheme="minorHAnsi" w:hAnsiTheme="minorHAnsi" w:cstheme="minorHAnsi"/>
                <w:color w:val="231F20"/>
                <w:sz w:val="22"/>
                <w:szCs w:val="22"/>
              </w:rPr>
            </w:pPr>
            <w:r w:rsidRPr="004A72C8">
              <w:rPr>
                <w:rFonts w:asciiTheme="minorHAnsi" w:hAnsiTheme="minorHAnsi" w:cstheme="minorHAnsi"/>
                <w:color w:val="231F20"/>
                <w:sz w:val="22"/>
                <w:szCs w:val="22"/>
              </w:rPr>
              <w:t xml:space="preserve">x weeks </w:t>
            </w:r>
          </w:p>
        </w:tc>
      </w:tr>
      <w:tr w:rsidR="004A72C8" w:rsidRPr="004A72C8" w14:paraId="21A6A64E" w14:textId="77777777" w:rsidTr="004A72C8">
        <w:trPr>
          <w:cantSplit/>
          <w:trHeight w:val="1078"/>
        </w:trPr>
        <w:tc>
          <w:tcPr>
            <w:tcW w:w="2477" w:type="dxa"/>
            <w:shd w:val="clear" w:color="auto" w:fill="auto"/>
          </w:tcPr>
          <w:p w14:paraId="4F68147C" w14:textId="77777777" w:rsidR="004A72C8" w:rsidRPr="004A72C8" w:rsidRDefault="004A72C8" w:rsidP="00637620">
            <w:pPr>
              <w:pStyle w:val="NormalWeb"/>
              <w:spacing w:before="0" w:beforeAutospacing="0" w:after="0" w:afterAutospacing="0"/>
              <w:textAlignment w:val="baseline"/>
              <w:rPr>
                <w:rFonts w:asciiTheme="minorHAnsi" w:hAnsiTheme="minorHAnsi" w:cstheme="minorHAnsi"/>
                <w:color w:val="231F20"/>
                <w:sz w:val="22"/>
                <w:szCs w:val="22"/>
              </w:rPr>
            </w:pPr>
            <w:r w:rsidRPr="004A72C8">
              <w:rPr>
                <w:rFonts w:asciiTheme="minorHAnsi" w:hAnsiTheme="minorHAnsi" w:cstheme="minorHAnsi"/>
                <w:color w:val="231F20"/>
                <w:sz w:val="22"/>
                <w:szCs w:val="22"/>
              </w:rPr>
              <w:t xml:space="preserve"> </w:t>
            </w:r>
          </w:p>
        </w:tc>
        <w:tc>
          <w:tcPr>
            <w:tcW w:w="11477" w:type="dxa"/>
            <w:shd w:val="clear" w:color="auto" w:fill="auto"/>
          </w:tcPr>
          <w:p w14:paraId="66E6A792" w14:textId="77777777" w:rsidR="004A72C8" w:rsidRPr="004A72C8" w:rsidRDefault="004A72C8" w:rsidP="00637620">
            <w:pPr>
              <w:rPr>
                <w:rFonts w:cstheme="minorHAnsi"/>
                <w:color w:val="C00000"/>
              </w:rPr>
            </w:pPr>
            <w:r w:rsidRPr="004A72C8">
              <w:rPr>
                <w:rFonts w:cstheme="minorHAnsi"/>
                <w:b/>
                <w:bCs/>
                <w:color w:val="231F20"/>
              </w:rPr>
              <w:t xml:space="preserve">Unit 2 </w:t>
            </w:r>
          </w:p>
          <w:p w14:paraId="39B773AA" w14:textId="77777777" w:rsidR="004A72C8" w:rsidRPr="004A72C8" w:rsidRDefault="004A72C8" w:rsidP="00637620">
            <w:pPr>
              <w:ind w:right="30"/>
              <w:rPr>
                <w:rFonts w:cstheme="minorHAnsi"/>
                <w:iCs/>
                <w:color w:val="231F20"/>
              </w:rPr>
            </w:pPr>
          </w:p>
        </w:tc>
        <w:tc>
          <w:tcPr>
            <w:tcW w:w="1447" w:type="dxa"/>
          </w:tcPr>
          <w:p w14:paraId="4DDD229D"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p>
          <w:p w14:paraId="3785C36B"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r w:rsidRPr="004A72C8">
              <w:rPr>
                <w:rFonts w:asciiTheme="minorHAnsi" w:hAnsiTheme="minorHAnsi" w:cstheme="minorHAnsi"/>
                <w:color w:val="231F20"/>
                <w:sz w:val="22"/>
                <w:szCs w:val="22"/>
              </w:rPr>
              <w:t xml:space="preserve">x weeks </w:t>
            </w:r>
          </w:p>
        </w:tc>
      </w:tr>
      <w:tr w:rsidR="004A72C8" w:rsidRPr="004A72C8" w14:paraId="2555D9BC" w14:textId="77777777" w:rsidTr="004A72C8">
        <w:trPr>
          <w:cantSplit/>
          <w:trHeight w:val="1051"/>
        </w:trPr>
        <w:tc>
          <w:tcPr>
            <w:tcW w:w="2477" w:type="dxa"/>
            <w:shd w:val="clear" w:color="auto" w:fill="auto"/>
          </w:tcPr>
          <w:p w14:paraId="1146CE4A" w14:textId="77777777" w:rsidR="004A72C8" w:rsidRPr="004A72C8" w:rsidRDefault="004A72C8" w:rsidP="00637620">
            <w:pPr>
              <w:pBdr>
                <w:top w:val="nil"/>
                <w:left w:val="nil"/>
                <w:bottom w:val="nil"/>
                <w:right w:val="nil"/>
                <w:between w:val="nil"/>
              </w:pBdr>
              <w:rPr>
                <w:rFonts w:cstheme="minorHAnsi"/>
                <w:color w:val="231F20"/>
              </w:rPr>
            </w:pPr>
          </w:p>
        </w:tc>
        <w:tc>
          <w:tcPr>
            <w:tcW w:w="11477" w:type="dxa"/>
            <w:shd w:val="clear" w:color="auto" w:fill="auto"/>
          </w:tcPr>
          <w:p w14:paraId="64649917" w14:textId="77777777" w:rsidR="004A72C8" w:rsidRPr="004A72C8" w:rsidRDefault="004A72C8" w:rsidP="00637620">
            <w:pPr>
              <w:rPr>
                <w:rFonts w:cstheme="minorHAnsi"/>
                <w:b/>
                <w:color w:val="C00000"/>
              </w:rPr>
            </w:pPr>
            <w:r w:rsidRPr="004A72C8">
              <w:rPr>
                <w:rFonts w:cstheme="minorHAnsi"/>
                <w:b/>
                <w:color w:val="000000" w:themeColor="text1"/>
              </w:rPr>
              <w:t>Unit 3</w:t>
            </w:r>
          </w:p>
        </w:tc>
        <w:tc>
          <w:tcPr>
            <w:tcW w:w="1447" w:type="dxa"/>
          </w:tcPr>
          <w:p w14:paraId="0251E7A4"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p>
          <w:p w14:paraId="1B3041B7"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r w:rsidRPr="004A72C8">
              <w:rPr>
                <w:rFonts w:asciiTheme="minorHAnsi" w:hAnsiTheme="minorHAnsi" w:cstheme="minorHAnsi"/>
                <w:color w:val="231F20"/>
                <w:sz w:val="22"/>
                <w:szCs w:val="22"/>
              </w:rPr>
              <w:t xml:space="preserve">x weeks </w:t>
            </w:r>
          </w:p>
        </w:tc>
      </w:tr>
      <w:tr w:rsidR="004A72C8" w:rsidRPr="004A72C8" w14:paraId="325004AC" w14:textId="77777777" w:rsidTr="004A72C8">
        <w:trPr>
          <w:cantSplit/>
          <w:trHeight w:val="1051"/>
        </w:trPr>
        <w:tc>
          <w:tcPr>
            <w:tcW w:w="2477" w:type="dxa"/>
            <w:shd w:val="clear" w:color="auto" w:fill="auto"/>
          </w:tcPr>
          <w:p w14:paraId="698EBA04" w14:textId="77777777" w:rsidR="004A72C8" w:rsidRPr="004A72C8" w:rsidRDefault="004A72C8" w:rsidP="00637620">
            <w:pPr>
              <w:pStyle w:val="NormalWeb"/>
              <w:spacing w:before="0" w:beforeAutospacing="0" w:after="0" w:afterAutospacing="0"/>
              <w:textAlignment w:val="baseline"/>
              <w:rPr>
                <w:rFonts w:asciiTheme="minorHAnsi" w:hAnsiTheme="minorHAnsi" w:cstheme="minorHAnsi"/>
                <w:color w:val="231F20"/>
                <w:sz w:val="22"/>
                <w:szCs w:val="22"/>
              </w:rPr>
            </w:pPr>
          </w:p>
        </w:tc>
        <w:tc>
          <w:tcPr>
            <w:tcW w:w="11477" w:type="dxa"/>
            <w:shd w:val="clear" w:color="auto" w:fill="auto"/>
          </w:tcPr>
          <w:p w14:paraId="2383188D" w14:textId="77777777" w:rsidR="004A72C8" w:rsidRPr="004A72C8" w:rsidRDefault="004A72C8" w:rsidP="00637620">
            <w:pPr>
              <w:rPr>
                <w:rFonts w:cstheme="minorHAnsi"/>
                <w:b/>
                <w:lang w:val="en-GB"/>
              </w:rPr>
            </w:pPr>
            <w:r w:rsidRPr="004A72C8">
              <w:rPr>
                <w:rFonts w:cstheme="minorHAnsi"/>
                <w:b/>
                <w:lang w:val="en-GB"/>
              </w:rPr>
              <w:t xml:space="preserve">Unit 4 </w:t>
            </w:r>
          </w:p>
        </w:tc>
        <w:tc>
          <w:tcPr>
            <w:tcW w:w="1447" w:type="dxa"/>
          </w:tcPr>
          <w:p w14:paraId="77519EAE"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p>
          <w:p w14:paraId="114161AA"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p>
          <w:p w14:paraId="144C7254"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r w:rsidRPr="004A72C8">
              <w:rPr>
                <w:rFonts w:asciiTheme="minorHAnsi" w:hAnsiTheme="minorHAnsi" w:cstheme="minorHAnsi"/>
                <w:color w:val="231F20"/>
                <w:sz w:val="22"/>
                <w:szCs w:val="22"/>
              </w:rPr>
              <w:t xml:space="preserve">x weeks  </w:t>
            </w:r>
          </w:p>
          <w:p w14:paraId="53CAC380"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p>
          <w:p w14:paraId="24BAEE2D" w14:textId="77777777" w:rsidR="004A72C8" w:rsidRPr="004A72C8" w:rsidRDefault="004A72C8" w:rsidP="00637620">
            <w:pPr>
              <w:pStyle w:val="BodyText"/>
              <w:tabs>
                <w:tab w:val="left" w:pos="3700"/>
              </w:tabs>
              <w:spacing w:line="240" w:lineRule="auto"/>
              <w:ind w:right="286"/>
              <w:rPr>
                <w:rFonts w:asciiTheme="minorHAnsi" w:hAnsiTheme="minorHAnsi" w:cstheme="minorHAnsi"/>
                <w:color w:val="231F20"/>
                <w:sz w:val="22"/>
                <w:szCs w:val="22"/>
              </w:rPr>
            </w:pPr>
          </w:p>
        </w:tc>
      </w:tr>
    </w:tbl>
    <w:p w14:paraId="42D00989" w14:textId="77777777" w:rsidR="004A72C8" w:rsidRPr="004A72C8" w:rsidRDefault="004A72C8" w:rsidP="004A72C8">
      <w:pPr>
        <w:pStyle w:val="Heading2"/>
        <w:rPr>
          <w:rFonts w:asciiTheme="minorHAnsi" w:hAnsiTheme="minorHAnsi" w:cstheme="minorHAnsi"/>
          <w:w w:val="110"/>
        </w:rPr>
      </w:pPr>
    </w:p>
    <w:p w14:paraId="420A9873" w14:textId="77777777" w:rsidR="004A72C8" w:rsidRPr="004A72C8" w:rsidRDefault="004A72C8" w:rsidP="004A72C8">
      <w:pPr>
        <w:rPr>
          <w:rFonts w:cstheme="minorHAnsi"/>
          <w:color w:val="0070C0"/>
        </w:rPr>
      </w:pPr>
      <w:r w:rsidRPr="004A72C8">
        <w:rPr>
          <w:rFonts w:cstheme="minorHAnsi"/>
          <w:color w:val="0070C0"/>
        </w:rPr>
        <w:t xml:space="preserve">Significant learning list for reference </w:t>
      </w:r>
    </w:p>
    <w:p w14:paraId="2B8738CA"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Explore hauora through Te Whare Tapa Whā and other holistic models of health and wellbeing, such as Fonofale</w:t>
      </w:r>
    </w:p>
    <w:p w14:paraId="7D9A5C05"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Explore how mana and identity are connected with a sense of self-worth</w:t>
      </w:r>
    </w:p>
    <w:p w14:paraId="25C92653"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Explore Māori and Pacific knowledge bases, values and practices related to hauora and wellbeing</w:t>
      </w:r>
    </w:p>
    <w:p w14:paraId="30D01765"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Learn about how principles of fairness and inclusiveness can be applied to hauora and wellbeing approaches</w:t>
      </w:r>
    </w:p>
    <w:p w14:paraId="3A1E3DFB"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Learn about how kaitiakitanga, manaakitanga and whanaungatanga contribute to the hauora of individuals, whānau and communities</w:t>
      </w:r>
    </w:p>
    <w:p w14:paraId="353C9A2E"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Learn about a selection of food and nutrition, relationships and sexuality, and mental health contexts</w:t>
      </w:r>
    </w:p>
    <w:p w14:paraId="70F3A1F0"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Understand personal and interpersonal skills that can enhance hauora</w:t>
      </w:r>
    </w:p>
    <w:p w14:paraId="4D985C1D"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Understand that hauora is more than a matter of personal choice and individual responsibility</w:t>
      </w:r>
    </w:p>
    <w:p w14:paraId="69129BF9"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Understand that a variety of health-promotion actions are needed at personal, interpersonal, and societal levels to enhance hauora</w:t>
      </w:r>
    </w:p>
    <w:p w14:paraId="09F69EB0" w14:textId="77777777" w:rsidR="004A72C8" w:rsidRPr="004A72C8" w:rsidRDefault="004A72C8" w:rsidP="004A72C8">
      <w:pPr>
        <w:pStyle w:val="ListParagraph"/>
        <w:numPr>
          <w:ilvl w:val="0"/>
          <w:numId w:val="20"/>
        </w:numPr>
        <w:pBdr>
          <w:top w:val="nil"/>
          <w:left w:val="nil"/>
          <w:bottom w:val="nil"/>
          <w:right w:val="nil"/>
          <w:between w:val="nil"/>
        </w:pBdr>
        <w:spacing w:after="0" w:line="240" w:lineRule="auto"/>
        <w:rPr>
          <w:rFonts w:cstheme="minorHAnsi"/>
          <w:sz w:val="18"/>
          <w:szCs w:val="18"/>
        </w:rPr>
      </w:pPr>
      <w:r w:rsidRPr="004A72C8">
        <w:rPr>
          <w:rFonts w:cstheme="minorHAnsi"/>
          <w:sz w:val="18"/>
          <w:szCs w:val="18"/>
        </w:rPr>
        <w:t>Understand diverse ways to manage change situations that impact hauora and wellbeing</w:t>
      </w:r>
    </w:p>
    <w:p w14:paraId="553289BF" w14:textId="77777777" w:rsidR="00105833" w:rsidRPr="00105833" w:rsidRDefault="00105833">
      <w:pPr>
        <w:rPr>
          <w:b/>
          <w:color w:val="C00000"/>
          <w:sz w:val="28"/>
          <w:szCs w:val="28"/>
        </w:rPr>
      </w:pPr>
      <w:r w:rsidRPr="00105833">
        <w:rPr>
          <w:b/>
          <w:color w:val="C00000"/>
          <w:sz w:val="28"/>
          <w:szCs w:val="28"/>
        </w:rPr>
        <w:br w:type="page"/>
      </w:r>
    </w:p>
    <w:p w14:paraId="0EDB4CFD" w14:textId="77777777" w:rsidR="009B48FB" w:rsidRPr="00F04721" w:rsidRDefault="00364FB5" w:rsidP="009B48FB">
      <w:pPr>
        <w:jc w:val="center"/>
        <w:rPr>
          <w:b/>
          <w:color w:val="C00000"/>
          <w:sz w:val="28"/>
          <w:szCs w:val="28"/>
        </w:rPr>
      </w:pPr>
      <w:r w:rsidRPr="00364FB5">
        <w:rPr>
          <w:b/>
          <w:color w:val="C00000"/>
          <w:sz w:val="28"/>
          <w:szCs w:val="28"/>
        </w:rPr>
        <w:lastRenderedPageBreak/>
        <w:t xml:space="preserve">FOR REFERENCE </w:t>
      </w:r>
      <w:r w:rsidR="009B48FB" w:rsidRPr="00F04721">
        <w:rPr>
          <w:b/>
          <w:sz w:val="28"/>
          <w:szCs w:val="28"/>
        </w:rPr>
        <w:t xml:space="preserve">A </w:t>
      </w:r>
      <w:r w:rsidR="009B48FB">
        <w:rPr>
          <w:b/>
          <w:sz w:val="28"/>
          <w:szCs w:val="28"/>
        </w:rPr>
        <w:t xml:space="preserve">LEVEL 1 </w:t>
      </w:r>
      <w:r w:rsidR="009B48FB" w:rsidRPr="00F04721">
        <w:rPr>
          <w:b/>
          <w:sz w:val="28"/>
          <w:szCs w:val="28"/>
        </w:rPr>
        <w:t>‘CONSOLIDATED SUBJECT’</w:t>
      </w:r>
      <w:r w:rsidR="009B48FB" w:rsidRPr="009B48FB">
        <w:rPr>
          <w:b/>
          <w:sz w:val="28"/>
          <w:szCs w:val="28"/>
        </w:rPr>
        <w:t xml:space="preserve"> </w:t>
      </w:r>
      <w:r w:rsidR="009B48FB">
        <w:rPr>
          <w:b/>
          <w:sz w:val="28"/>
          <w:szCs w:val="28"/>
        </w:rPr>
        <w:t xml:space="preserve">of HEALTH </w:t>
      </w:r>
      <w:r w:rsidR="009B48FB" w:rsidRPr="00F04721">
        <w:rPr>
          <w:b/>
          <w:sz w:val="28"/>
          <w:szCs w:val="28"/>
        </w:rPr>
        <w:t>EDUCATION WITH HOME ECONOMICS</w:t>
      </w:r>
    </w:p>
    <w:tbl>
      <w:tblPr>
        <w:tblStyle w:val="TableGrid"/>
        <w:tblW w:w="15524" w:type="dxa"/>
        <w:tblLayout w:type="fixed"/>
        <w:tblLook w:val="04A0" w:firstRow="1" w:lastRow="0" w:firstColumn="1" w:lastColumn="0" w:noHBand="0" w:noVBand="1"/>
      </w:tblPr>
      <w:tblGrid>
        <w:gridCol w:w="3397"/>
        <w:gridCol w:w="1985"/>
        <w:gridCol w:w="2380"/>
        <w:gridCol w:w="1731"/>
        <w:gridCol w:w="2150"/>
        <w:gridCol w:w="3881"/>
      </w:tblGrid>
      <w:tr w:rsidR="009B48FB" w14:paraId="65612DBD" w14:textId="77777777" w:rsidTr="00C572CF">
        <w:trPr>
          <w:trHeight w:val="1012"/>
        </w:trPr>
        <w:tc>
          <w:tcPr>
            <w:tcW w:w="15524" w:type="dxa"/>
            <w:gridSpan w:val="6"/>
            <w:tcBorders>
              <w:bottom w:val="single" w:sz="4" w:space="0" w:color="auto"/>
            </w:tcBorders>
            <w:shd w:val="clear" w:color="auto" w:fill="DEEAF6" w:themeFill="accent1" w:themeFillTint="33"/>
          </w:tcPr>
          <w:p w14:paraId="0E254F45" w14:textId="77777777" w:rsidR="009B48FB" w:rsidRPr="0017075A" w:rsidRDefault="009B48FB" w:rsidP="00C572CF">
            <w:pPr>
              <w:jc w:val="center"/>
              <w:rPr>
                <w:rFonts w:cstheme="minorHAnsi"/>
                <w:color w:val="C00000"/>
                <w:sz w:val="28"/>
                <w:szCs w:val="28"/>
              </w:rPr>
            </w:pPr>
            <w:r w:rsidRPr="0017075A">
              <w:rPr>
                <w:rFonts w:cstheme="minorHAnsi"/>
                <w:b/>
                <w:color w:val="C00000"/>
                <w:sz w:val="28"/>
                <w:szCs w:val="28"/>
              </w:rPr>
              <w:t>He oranga ngākau, he pikinga waiora.</w:t>
            </w:r>
            <w:r w:rsidRPr="0017075A">
              <w:rPr>
                <w:rFonts w:cstheme="minorHAnsi"/>
                <w:color w:val="C00000"/>
                <w:sz w:val="28"/>
                <w:szCs w:val="28"/>
              </w:rPr>
              <w:t xml:space="preserve"> </w:t>
            </w:r>
            <w:r w:rsidRPr="0017075A">
              <w:rPr>
                <w:rFonts w:cstheme="minorHAnsi"/>
                <w:i/>
                <w:color w:val="C00000"/>
                <w:sz w:val="28"/>
                <w:szCs w:val="28"/>
              </w:rPr>
              <w:t>Positive feelings in your heart will raise your sense of self-worth.</w:t>
            </w:r>
          </w:p>
          <w:p w14:paraId="485EB6E0" w14:textId="77777777" w:rsidR="009B48FB" w:rsidRDefault="009B48FB" w:rsidP="00C572CF">
            <w:pPr>
              <w:rPr>
                <w:rFonts w:cstheme="minorHAnsi"/>
              </w:rPr>
            </w:pPr>
            <w:r w:rsidRPr="0017075A">
              <w:rPr>
                <w:rFonts w:cstheme="minorHAnsi"/>
                <w:i/>
                <w:sz w:val="28"/>
                <w:szCs w:val="28"/>
              </w:rPr>
              <w:t xml:space="preserve">The health and physical education learning area statement opens with: </w:t>
            </w:r>
            <w:r w:rsidRPr="0017075A">
              <w:rPr>
                <w:rFonts w:cstheme="minorHAnsi"/>
                <w:sz w:val="28"/>
                <w:szCs w:val="28"/>
              </w:rPr>
              <w:t>“</w:t>
            </w:r>
            <w:r w:rsidRPr="0017075A">
              <w:rPr>
                <w:rFonts w:cstheme="minorHAnsi"/>
                <w:b/>
                <w:sz w:val="28"/>
                <w:szCs w:val="28"/>
              </w:rPr>
              <w:t>In health and physical education, the focus is on the well-being of the students themselves, of other people, and of society through learning in health-related</w:t>
            </w:r>
            <w:r w:rsidRPr="0017075A">
              <w:rPr>
                <w:rFonts w:cstheme="minorHAnsi"/>
                <w:sz w:val="28"/>
                <w:szCs w:val="28"/>
              </w:rPr>
              <w:t xml:space="preserve"> and movement </w:t>
            </w:r>
            <w:r w:rsidRPr="0017075A">
              <w:rPr>
                <w:rFonts w:cstheme="minorHAnsi"/>
                <w:b/>
                <w:sz w:val="28"/>
                <w:szCs w:val="28"/>
              </w:rPr>
              <w:t>contexts.”</w:t>
            </w:r>
            <w:r w:rsidRPr="0017075A">
              <w:rPr>
                <w:rFonts w:cstheme="minorHAnsi"/>
                <w:sz w:val="28"/>
                <w:szCs w:val="28"/>
              </w:rPr>
              <w:t xml:space="preserve"> </w:t>
            </w:r>
          </w:p>
          <w:p w14:paraId="749A7AAD" w14:textId="77777777" w:rsidR="009B48FB" w:rsidRPr="0017075A" w:rsidRDefault="009B48FB" w:rsidP="00C572CF">
            <w:pPr>
              <w:rPr>
                <w:rFonts w:cstheme="minorHAnsi"/>
                <w:sz w:val="28"/>
                <w:szCs w:val="28"/>
              </w:rPr>
            </w:pPr>
            <w:r w:rsidRPr="004F7753">
              <w:rPr>
                <w:rFonts w:cstheme="minorHAnsi"/>
              </w:rPr>
              <w:t>NZC, 2007, p22.</w:t>
            </w:r>
            <w:r w:rsidRPr="0017075A">
              <w:rPr>
                <w:rFonts w:cstheme="minorHAnsi"/>
                <w:sz w:val="28"/>
                <w:szCs w:val="28"/>
              </w:rPr>
              <w:t xml:space="preserve"> </w:t>
            </w:r>
          </w:p>
        </w:tc>
      </w:tr>
      <w:tr w:rsidR="009B48FB" w14:paraId="2A14AD13" w14:textId="77777777" w:rsidTr="00C572CF">
        <w:trPr>
          <w:trHeight w:val="323"/>
        </w:trPr>
        <w:tc>
          <w:tcPr>
            <w:tcW w:w="15524" w:type="dxa"/>
            <w:gridSpan w:val="6"/>
            <w:tcBorders>
              <w:bottom w:val="nil"/>
            </w:tcBorders>
            <w:shd w:val="clear" w:color="auto" w:fill="FFF2CC" w:themeFill="accent4" w:themeFillTint="33"/>
          </w:tcPr>
          <w:p w14:paraId="5C24A544" w14:textId="77777777" w:rsidR="009B48FB" w:rsidRDefault="009B48FB" w:rsidP="00C572CF">
            <w:pPr>
              <w:jc w:val="center"/>
              <w:rPr>
                <w:rFonts w:cstheme="minorHAnsi"/>
                <w:b/>
                <w:sz w:val="28"/>
                <w:szCs w:val="28"/>
              </w:rPr>
            </w:pPr>
          </w:p>
          <w:p w14:paraId="04E51A57" w14:textId="77777777" w:rsidR="009B48FB" w:rsidRDefault="009B48FB" w:rsidP="00C572CF">
            <w:pPr>
              <w:jc w:val="center"/>
              <w:rPr>
                <w:rFonts w:cstheme="minorHAnsi"/>
                <w:b/>
                <w:sz w:val="28"/>
                <w:szCs w:val="28"/>
              </w:rPr>
            </w:pPr>
            <w:r w:rsidRPr="0017075A">
              <w:rPr>
                <w:rFonts w:cstheme="minorHAnsi"/>
                <w:b/>
                <w:sz w:val="28"/>
                <w:szCs w:val="28"/>
              </w:rPr>
              <w:t>Four underlying and interdependent concepts are at the heart of this learning area:</w:t>
            </w:r>
          </w:p>
          <w:p w14:paraId="64304003" w14:textId="77777777" w:rsidR="009B48FB" w:rsidRPr="0017075A" w:rsidRDefault="009B48FB" w:rsidP="00C572CF">
            <w:pPr>
              <w:jc w:val="center"/>
              <w:rPr>
                <w:rFonts w:cstheme="minorHAnsi"/>
                <w:b/>
                <w:sz w:val="28"/>
                <w:szCs w:val="28"/>
              </w:rPr>
            </w:pPr>
          </w:p>
        </w:tc>
      </w:tr>
      <w:tr w:rsidR="009B48FB" w14:paraId="225ACE28" w14:textId="77777777" w:rsidTr="00C572CF">
        <w:trPr>
          <w:trHeight w:val="184"/>
        </w:trPr>
        <w:tc>
          <w:tcPr>
            <w:tcW w:w="3397" w:type="dxa"/>
            <w:tcBorders>
              <w:top w:val="nil"/>
              <w:bottom w:val="single" w:sz="4" w:space="0" w:color="auto"/>
              <w:right w:val="nil"/>
            </w:tcBorders>
            <w:shd w:val="clear" w:color="auto" w:fill="FFF2CC" w:themeFill="accent4" w:themeFillTint="33"/>
          </w:tcPr>
          <w:p w14:paraId="764080A6" w14:textId="77777777" w:rsidR="009B48FB" w:rsidRDefault="009B48FB" w:rsidP="00C572CF">
            <w:pPr>
              <w:jc w:val="center"/>
              <w:rPr>
                <w:rFonts w:cstheme="minorHAnsi"/>
                <w:b/>
                <w:sz w:val="28"/>
                <w:szCs w:val="28"/>
              </w:rPr>
            </w:pPr>
            <w:r w:rsidRPr="0017075A">
              <w:rPr>
                <w:rFonts w:cstheme="minorHAnsi"/>
                <w:b/>
                <w:sz w:val="28"/>
                <w:szCs w:val="28"/>
              </w:rPr>
              <w:t>Hauora</w:t>
            </w:r>
          </w:p>
          <w:p w14:paraId="23945CD6" w14:textId="77777777" w:rsidR="009B48FB" w:rsidRPr="0017075A" w:rsidRDefault="009B48FB" w:rsidP="00C572CF">
            <w:pPr>
              <w:jc w:val="center"/>
              <w:rPr>
                <w:rFonts w:cstheme="minorHAnsi"/>
                <w:i/>
                <w:sz w:val="28"/>
                <w:szCs w:val="28"/>
              </w:rPr>
            </w:pPr>
          </w:p>
        </w:tc>
        <w:tc>
          <w:tcPr>
            <w:tcW w:w="4365" w:type="dxa"/>
            <w:gridSpan w:val="2"/>
            <w:tcBorders>
              <w:top w:val="nil"/>
              <w:left w:val="nil"/>
              <w:bottom w:val="single" w:sz="4" w:space="0" w:color="auto"/>
              <w:right w:val="nil"/>
            </w:tcBorders>
            <w:shd w:val="clear" w:color="auto" w:fill="FFF2CC" w:themeFill="accent4" w:themeFillTint="33"/>
          </w:tcPr>
          <w:p w14:paraId="0DBA5363" w14:textId="77777777" w:rsidR="009B48FB" w:rsidRPr="0017075A" w:rsidRDefault="009B48FB" w:rsidP="00C572CF">
            <w:pPr>
              <w:jc w:val="center"/>
              <w:rPr>
                <w:rFonts w:cstheme="minorHAnsi"/>
                <w:b/>
                <w:sz w:val="28"/>
                <w:szCs w:val="28"/>
              </w:rPr>
            </w:pPr>
            <w:r w:rsidRPr="0017075A">
              <w:rPr>
                <w:rFonts w:cstheme="minorHAnsi"/>
                <w:b/>
                <w:sz w:val="28"/>
                <w:szCs w:val="28"/>
              </w:rPr>
              <w:t>The socio-ecological perspective</w:t>
            </w:r>
          </w:p>
        </w:tc>
        <w:tc>
          <w:tcPr>
            <w:tcW w:w="3881" w:type="dxa"/>
            <w:gridSpan w:val="2"/>
            <w:tcBorders>
              <w:top w:val="nil"/>
              <w:left w:val="nil"/>
              <w:bottom w:val="single" w:sz="4" w:space="0" w:color="auto"/>
              <w:right w:val="nil"/>
            </w:tcBorders>
            <w:shd w:val="clear" w:color="auto" w:fill="FFF2CC" w:themeFill="accent4" w:themeFillTint="33"/>
          </w:tcPr>
          <w:p w14:paraId="401DC80B" w14:textId="77777777" w:rsidR="009B48FB" w:rsidRPr="0017075A" w:rsidRDefault="009B48FB" w:rsidP="00C572CF">
            <w:pPr>
              <w:jc w:val="center"/>
              <w:rPr>
                <w:rFonts w:cstheme="minorHAnsi"/>
                <w:sz w:val="28"/>
                <w:szCs w:val="28"/>
              </w:rPr>
            </w:pPr>
            <w:r w:rsidRPr="0017075A">
              <w:rPr>
                <w:rFonts w:cstheme="minorHAnsi"/>
                <w:b/>
                <w:sz w:val="28"/>
                <w:szCs w:val="28"/>
              </w:rPr>
              <w:t>Attitudes and values</w:t>
            </w:r>
          </w:p>
        </w:tc>
        <w:tc>
          <w:tcPr>
            <w:tcW w:w="3881" w:type="dxa"/>
            <w:tcBorders>
              <w:top w:val="nil"/>
              <w:left w:val="nil"/>
              <w:bottom w:val="single" w:sz="4" w:space="0" w:color="auto"/>
            </w:tcBorders>
            <w:shd w:val="clear" w:color="auto" w:fill="FFF2CC" w:themeFill="accent4" w:themeFillTint="33"/>
          </w:tcPr>
          <w:p w14:paraId="519027FC" w14:textId="77777777" w:rsidR="009B48FB" w:rsidRPr="0017075A" w:rsidRDefault="009B48FB" w:rsidP="00C572CF">
            <w:pPr>
              <w:jc w:val="center"/>
              <w:rPr>
                <w:rFonts w:cstheme="minorHAnsi"/>
                <w:sz w:val="28"/>
                <w:szCs w:val="28"/>
              </w:rPr>
            </w:pPr>
            <w:r w:rsidRPr="0017075A">
              <w:rPr>
                <w:rFonts w:cstheme="minorHAnsi"/>
                <w:b/>
                <w:sz w:val="28"/>
                <w:szCs w:val="28"/>
              </w:rPr>
              <w:t>Health promotion</w:t>
            </w:r>
          </w:p>
        </w:tc>
      </w:tr>
      <w:tr w:rsidR="009B48FB" w:rsidRPr="00F06676" w14:paraId="2436285C" w14:textId="77777777" w:rsidTr="00C572CF">
        <w:trPr>
          <w:trHeight w:val="665"/>
        </w:trPr>
        <w:tc>
          <w:tcPr>
            <w:tcW w:w="15524" w:type="dxa"/>
            <w:gridSpan w:val="6"/>
            <w:tcBorders>
              <w:bottom w:val="nil"/>
            </w:tcBorders>
          </w:tcPr>
          <w:p w14:paraId="10A3A5AF" w14:textId="77777777" w:rsidR="009B48FB" w:rsidRDefault="009B48FB" w:rsidP="00C572CF">
            <w:pPr>
              <w:rPr>
                <w:rFonts w:cstheme="minorHAnsi"/>
                <w:b/>
                <w:sz w:val="28"/>
                <w:szCs w:val="28"/>
              </w:rPr>
            </w:pPr>
            <w:r w:rsidRPr="0017075A">
              <w:rPr>
                <w:rFonts w:cstheme="minorHAnsi"/>
                <w:b/>
                <w:sz w:val="28"/>
                <w:szCs w:val="28"/>
              </w:rPr>
              <w:t xml:space="preserve">Health Education and Home Economic draw from the following </w:t>
            </w:r>
            <w:r>
              <w:rPr>
                <w:rFonts w:cstheme="minorHAnsi"/>
                <w:b/>
                <w:sz w:val="28"/>
                <w:szCs w:val="28"/>
              </w:rPr>
              <w:t>Key Areas of learning (</w:t>
            </w:r>
            <w:r w:rsidRPr="0017075A">
              <w:rPr>
                <w:rFonts w:cstheme="minorHAnsi"/>
                <w:b/>
                <w:sz w:val="28"/>
                <w:szCs w:val="28"/>
              </w:rPr>
              <w:t>KALs</w:t>
            </w:r>
            <w:r>
              <w:rPr>
                <w:rFonts w:cstheme="minorHAnsi"/>
                <w:b/>
                <w:sz w:val="28"/>
                <w:szCs w:val="28"/>
              </w:rPr>
              <w:t>)</w:t>
            </w:r>
            <w:r w:rsidRPr="0017075A">
              <w:rPr>
                <w:rFonts w:cstheme="minorHAnsi"/>
                <w:b/>
                <w:sz w:val="28"/>
                <w:szCs w:val="28"/>
              </w:rPr>
              <w:t xml:space="preserve">. </w:t>
            </w:r>
          </w:p>
          <w:p w14:paraId="7117D32F" w14:textId="77777777" w:rsidR="009B48FB" w:rsidRDefault="009B48FB" w:rsidP="00C572CF">
            <w:pPr>
              <w:rPr>
                <w:rFonts w:cstheme="minorHAnsi"/>
                <w:i/>
                <w:sz w:val="24"/>
                <w:szCs w:val="24"/>
              </w:rPr>
            </w:pPr>
            <w:r>
              <w:rPr>
                <w:rFonts w:cstheme="minorHAnsi"/>
                <w:i/>
                <w:sz w:val="24"/>
                <w:szCs w:val="24"/>
              </w:rPr>
              <w:t>The KALs cover</w:t>
            </w:r>
            <w:r w:rsidRPr="004325A6">
              <w:rPr>
                <w:rFonts w:cstheme="minorHAnsi"/>
                <w:i/>
                <w:sz w:val="24"/>
                <w:szCs w:val="24"/>
              </w:rPr>
              <w:t xml:space="preserve"> many subject specific </w:t>
            </w:r>
            <w:r>
              <w:rPr>
                <w:rFonts w:cstheme="minorHAnsi"/>
                <w:i/>
                <w:sz w:val="24"/>
                <w:szCs w:val="24"/>
              </w:rPr>
              <w:t xml:space="preserve">health and wellbeing-related contexts or </w:t>
            </w:r>
            <w:r w:rsidRPr="004325A6">
              <w:rPr>
                <w:rFonts w:cstheme="minorHAnsi"/>
                <w:i/>
                <w:sz w:val="24"/>
                <w:szCs w:val="24"/>
              </w:rPr>
              <w:t>topics</w:t>
            </w:r>
            <w:r>
              <w:rPr>
                <w:rFonts w:cstheme="minorHAnsi"/>
                <w:i/>
                <w:sz w:val="24"/>
                <w:szCs w:val="24"/>
              </w:rPr>
              <w:t>.</w:t>
            </w:r>
            <w:r w:rsidRPr="004325A6">
              <w:rPr>
                <w:rFonts w:cstheme="minorHAnsi"/>
                <w:i/>
                <w:sz w:val="24"/>
                <w:szCs w:val="24"/>
              </w:rPr>
              <w:t xml:space="preserve"> The underlying concepts above are applied in combination to </w:t>
            </w:r>
            <w:r>
              <w:rPr>
                <w:rFonts w:cstheme="minorHAnsi"/>
                <w:i/>
                <w:sz w:val="24"/>
                <w:szCs w:val="24"/>
              </w:rPr>
              <w:t xml:space="preserve">shape teaching and learning about </w:t>
            </w:r>
            <w:r w:rsidRPr="004325A6">
              <w:rPr>
                <w:rFonts w:cstheme="minorHAnsi"/>
                <w:i/>
                <w:sz w:val="24"/>
                <w:szCs w:val="24"/>
              </w:rPr>
              <w:t>these contexts</w:t>
            </w:r>
            <w:r>
              <w:rPr>
                <w:rFonts w:cstheme="minorHAnsi"/>
                <w:i/>
                <w:sz w:val="24"/>
                <w:szCs w:val="24"/>
              </w:rPr>
              <w:t>. The underlying concepts are used</w:t>
            </w:r>
            <w:r w:rsidRPr="004325A6">
              <w:rPr>
                <w:rFonts w:cstheme="minorHAnsi"/>
                <w:i/>
                <w:sz w:val="24"/>
                <w:szCs w:val="24"/>
              </w:rPr>
              <w:t xml:space="preserve"> to explore</w:t>
            </w:r>
            <w:r>
              <w:rPr>
                <w:rFonts w:cstheme="minorHAnsi"/>
                <w:i/>
                <w:sz w:val="24"/>
                <w:szCs w:val="24"/>
              </w:rPr>
              <w:t>:</w:t>
            </w:r>
            <w:r w:rsidRPr="004325A6">
              <w:rPr>
                <w:rFonts w:cstheme="minorHAnsi"/>
                <w:i/>
                <w:sz w:val="24"/>
                <w:szCs w:val="24"/>
              </w:rPr>
              <w:t xml:space="preserve"> </w:t>
            </w:r>
          </w:p>
          <w:p w14:paraId="3A0D9D26" w14:textId="77777777" w:rsidR="009B48FB" w:rsidRPr="004325A6" w:rsidRDefault="009B48FB" w:rsidP="009B48FB">
            <w:pPr>
              <w:pStyle w:val="ListParagraph"/>
              <w:numPr>
                <w:ilvl w:val="0"/>
                <w:numId w:val="3"/>
              </w:numPr>
              <w:rPr>
                <w:rFonts w:cstheme="minorHAnsi"/>
                <w:i/>
                <w:sz w:val="24"/>
                <w:szCs w:val="24"/>
              </w:rPr>
            </w:pPr>
            <w:r>
              <w:rPr>
                <w:rFonts w:cstheme="minorHAnsi"/>
                <w:i/>
                <w:sz w:val="24"/>
                <w:szCs w:val="24"/>
              </w:rPr>
              <w:t>How t</w:t>
            </w:r>
            <w:r w:rsidRPr="004325A6">
              <w:rPr>
                <w:rFonts w:cstheme="minorHAnsi"/>
                <w:i/>
                <w:sz w:val="24"/>
                <w:szCs w:val="24"/>
              </w:rPr>
              <w:t xml:space="preserve">he topic is a health and wellbeing matter through </w:t>
            </w:r>
            <w:r>
              <w:rPr>
                <w:rFonts w:cstheme="minorHAnsi"/>
                <w:i/>
                <w:sz w:val="24"/>
                <w:szCs w:val="24"/>
              </w:rPr>
              <w:t xml:space="preserve">the </w:t>
            </w:r>
            <w:r w:rsidRPr="004325A6">
              <w:rPr>
                <w:rFonts w:cstheme="minorHAnsi"/>
                <w:i/>
                <w:sz w:val="24"/>
                <w:szCs w:val="24"/>
              </w:rPr>
              <w:t xml:space="preserve">evidence-based ways it relates to </w:t>
            </w:r>
            <w:r>
              <w:rPr>
                <w:rFonts w:cstheme="minorHAnsi"/>
                <w:i/>
                <w:sz w:val="24"/>
                <w:szCs w:val="24"/>
              </w:rPr>
              <w:t>the</w:t>
            </w:r>
            <w:r w:rsidRPr="004325A6">
              <w:rPr>
                <w:rFonts w:cstheme="minorHAnsi"/>
                <w:i/>
                <w:sz w:val="24"/>
                <w:szCs w:val="24"/>
              </w:rPr>
              <w:t xml:space="preserve"> dimensions of hauora</w:t>
            </w:r>
            <w:r>
              <w:rPr>
                <w:rFonts w:cstheme="minorHAnsi"/>
                <w:i/>
                <w:sz w:val="24"/>
                <w:szCs w:val="24"/>
              </w:rPr>
              <w:t xml:space="preserve"> (using te whare tapa whā model as a foundation idea)</w:t>
            </w:r>
            <w:r w:rsidRPr="004325A6">
              <w:rPr>
                <w:rFonts w:cstheme="minorHAnsi"/>
                <w:i/>
                <w:sz w:val="24"/>
                <w:szCs w:val="24"/>
              </w:rPr>
              <w:t xml:space="preserve"> and how these aspects of wellbeing are inter-related; </w:t>
            </w:r>
          </w:p>
          <w:p w14:paraId="37528403" w14:textId="77777777" w:rsidR="009B48FB" w:rsidRPr="004325A6" w:rsidRDefault="009B48FB" w:rsidP="009B48FB">
            <w:pPr>
              <w:pStyle w:val="ListParagraph"/>
              <w:numPr>
                <w:ilvl w:val="0"/>
                <w:numId w:val="3"/>
              </w:numPr>
              <w:rPr>
                <w:rFonts w:cstheme="minorHAnsi"/>
                <w:b/>
                <w:sz w:val="24"/>
                <w:szCs w:val="24"/>
              </w:rPr>
            </w:pPr>
            <w:r>
              <w:rPr>
                <w:rFonts w:cstheme="minorHAnsi"/>
                <w:i/>
                <w:sz w:val="24"/>
                <w:szCs w:val="24"/>
              </w:rPr>
              <w:t>The i</w:t>
            </w:r>
            <w:r w:rsidRPr="004325A6">
              <w:rPr>
                <w:rFonts w:cstheme="minorHAnsi"/>
                <w:i/>
                <w:sz w:val="24"/>
                <w:szCs w:val="24"/>
              </w:rPr>
              <w:t xml:space="preserve">nter-related personal, interpersonal and community/societal factors </w:t>
            </w:r>
            <w:r>
              <w:rPr>
                <w:rFonts w:cstheme="minorHAnsi"/>
                <w:i/>
                <w:sz w:val="24"/>
                <w:szCs w:val="24"/>
              </w:rPr>
              <w:t xml:space="preserve">that are key </w:t>
            </w:r>
            <w:r w:rsidRPr="004325A6">
              <w:rPr>
                <w:rFonts w:cstheme="minorHAnsi"/>
                <w:i/>
                <w:sz w:val="24"/>
                <w:szCs w:val="24"/>
              </w:rPr>
              <w:t>feature</w:t>
            </w:r>
            <w:r>
              <w:rPr>
                <w:rFonts w:cstheme="minorHAnsi"/>
                <w:i/>
                <w:sz w:val="24"/>
                <w:szCs w:val="24"/>
              </w:rPr>
              <w:t>s of the</w:t>
            </w:r>
            <w:r w:rsidRPr="004325A6">
              <w:rPr>
                <w:rFonts w:cstheme="minorHAnsi"/>
                <w:i/>
                <w:sz w:val="24"/>
                <w:szCs w:val="24"/>
              </w:rPr>
              <w:t xml:space="preserve"> topic;</w:t>
            </w:r>
            <w:r w:rsidRPr="004325A6">
              <w:rPr>
                <w:rFonts w:cstheme="minorHAnsi"/>
                <w:b/>
                <w:sz w:val="24"/>
                <w:szCs w:val="24"/>
              </w:rPr>
              <w:t xml:space="preserve"> </w:t>
            </w:r>
          </w:p>
          <w:p w14:paraId="739F2C52" w14:textId="77777777" w:rsidR="009B48FB" w:rsidRPr="004325A6" w:rsidRDefault="009B48FB" w:rsidP="009B48FB">
            <w:pPr>
              <w:pStyle w:val="ListParagraph"/>
              <w:numPr>
                <w:ilvl w:val="0"/>
                <w:numId w:val="3"/>
              </w:numPr>
              <w:rPr>
                <w:rFonts w:cstheme="minorHAnsi"/>
                <w:i/>
                <w:sz w:val="24"/>
                <w:szCs w:val="24"/>
              </w:rPr>
            </w:pPr>
            <w:r>
              <w:rPr>
                <w:rFonts w:cstheme="minorHAnsi"/>
                <w:i/>
                <w:sz w:val="24"/>
                <w:szCs w:val="24"/>
              </w:rPr>
              <w:t>Ways to</w:t>
            </w:r>
            <w:r w:rsidRPr="004325A6">
              <w:rPr>
                <w:rFonts w:cstheme="minorHAnsi"/>
                <w:i/>
                <w:sz w:val="24"/>
                <w:szCs w:val="24"/>
              </w:rPr>
              <w:t xml:space="preserve"> take individual and collective action to promote wellbeing in relation to the topic; and </w:t>
            </w:r>
          </w:p>
          <w:p w14:paraId="3C743FB3" w14:textId="77777777" w:rsidR="009B48FB" w:rsidRPr="004325A6" w:rsidRDefault="009B48FB" w:rsidP="009B48FB">
            <w:pPr>
              <w:pStyle w:val="ListParagraph"/>
              <w:numPr>
                <w:ilvl w:val="0"/>
                <w:numId w:val="3"/>
              </w:numPr>
              <w:rPr>
                <w:rFonts w:cstheme="minorHAnsi"/>
                <w:b/>
                <w:sz w:val="24"/>
                <w:szCs w:val="24"/>
              </w:rPr>
            </w:pPr>
            <w:r>
              <w:rPr>
                <w:rFonts w:cstheme="minorHAnsi"/>
                <w:i/>
                <w:sz w:val="24"/>
                <w:szCs w:val="24"/>
              </w:rPr>
              <w:t>The ways p</w:t>
            </w:r>
            <w:r w:rsidRPr="004325A6">
              <w:rPr>
                <w:rFonts w:cstheme="minorHAnsi"/>
                <w:i/>
                <w:sz w:val="24"/>
                <w:szCs w:val="24"/>
              </w:rPr>
              <w:t>ositive attitudes and values like respect, care and concern</w:t>
            </w:r>
            <w:r>
              <w:rPr>
                <w:rFonts w:cstheme="minorHAnsi"/>
                <w:i/>
                <w:sz w:val="24"/>
                <w:szCs w:val="24"/>
              </w:rPr>
              <w:t>,</w:t>
            </w:r>
            <w:r w:rsidRPr="004325A6">
              <w:rPr>
                <w:rFonts w:cstheme="minorHAnsi"/>
                <w:i/>
                <w:sz w:val="24"/>
                <w:szCs w:val="24"/>
              </w:rPr>
              <w:t xml:space="preserve"> fairness sand inclusiveness are a feature of all of these ideas.</w:t>
            </w:r>
            <w:r w:rsidRPr="004325A6">
              <w:rPr>
                <w:rFonts w:cstheme="minorHAnsi"/>
                <w:b/>
                <w:sz w:val="24"/>
                <w:szCs w:val="24"/>
              </w:rPr>
              <w:t xml:space="preserve"> </w:t>
            </w:r>
          </w:p>
          <w:p w14:paraId="52BC7DE2" w14:textId="77777777" w:rsidR="009B48FB" w:rsidRPr="0017075A" w:rsidRDefault="009B48FB" w:rsidP="00C572CF">
            <w:pPr>
              <w:rPr>
                <w:rFonts w:cstheme="minorHAnsi"/>
                <w:i/>
                <w:sz w:val="28"/>
                <w:szCs w:val="28"/>
              </w:rPr>
            </w:pPr>
          </w:p>
        </w:tc>
      </w:tr>
      <w:tr w:rsidR="009B48FB" w14:paraId="38034FDB" w14:textId="77777777" w:rsidTr="00C572CF">
        <w:trPr>
          <w:trHeight w:val="312"/>
        </w:trPr>
        <w:tc>
          <w:tcPr>
            <w:tcW w:w="5382" w:type="dxa"/>
            <w:gridSpan w:val="2"/>
            <w:tcBorders>
              <w:top w:val="nil"/>
              <w:right w:val="single" w:sz="4" w:space="0" w:color="auto"/>
            </w:tcBorders>
          </w:tcPr>
          <w:p w14:paraId="4CB7226B" w14:textId="77777777" w:rsidR="009B48FB" w:rsidRDefault="009B48FB" w:rsidP="00C572CF">
            <w:pPr>
              <w:jc w:val="center"/>
              <w:rPr>
                <w:rFonts w:cstheme="minorHAnsi"/>
                <w:b/>
                <w:sz w:val="28"/>
                <w:szCs w:val="28"/>
              </w:rPr>
            </w:pPr>
            <w:r w:rsidRPr="0017075A">
              <w:rPr>
                <w:rFonts w:cstheme="minorHAnsi"/>
                <w:b/>
                <w:sz w:val="28"/>
                <w:szCs w:val="28"/>
              </w:rPr>
              <w:t>Mental health</w:t>
            </w:r>
          </w:p>
          <w:p w14:paraId="28B04A46" w14:textId="77777777" w:rsidR="009B48FB" w:rsidRPr="0017075A" w:rsidRDefault="009B48FB" w:rsidP="00C572CF">
            <w:pPr>
              <w:jc w:val="center"/>
              <w:rPr>
                <w:rFonts w:cstheme="minorHAnsi"/>
                <w:b/>
                <w:sz w:val="28"/>
                <w:szCs w:val="28"/>
              </w:rPr>
            </w:pPr>
          </w:p>
        </w:tc>
        <w:tc>
          <w:tcPr>
            <w:tcW w:w="4111" w:type="dxa"/>
            <w:gridSpan w:val="2"/>
            <w:tcBorders>
              <w:top w:val="nil"/>
              <w:left w:val="single" w:sz="4" w:space="0" w:color="auto"/>
              <w:right w:val="single" w:sz="4" w:space="0" w:color="auto"/>
            </w:tcBorders>
          </w:tcPr>
          <w:p w14:paraId="0E1E2C62" w14:textId="77777777" w:rsidR="009B48FB" w:rsidRPr="0017075A" w:rsidRDefault="009B48FB" w:rsidP="00C572CF">
            <w:pPr>
              <w:jc w:val="center"/>
              <w:rPr>
                <w:rFonts w:cstheme="minorHAnsi"/>
                <w:b/>
                <w:sz w:val="28"/>
                <w:szCs w:val="28"/>
              </w:rPr>
            </w:pPr>
            <w:r w:rsidRPr="0017075A">
              <w:rPr>
                <w:rFonts w:cstheme="minorHAnsi"/>
                <w:b/>
                <w:sz w:val="28"/>
                <w:szCs w:val="28"/>
              </w:rPr>
              <w:t>(Relationships and) Sexuality education</w:t>
            </w:r>
          </w:p>
        </w:tc>
        <w:tc>
          <w:tcPr>
            <w:tcW w:w="6031" w:type="dxa"/>
            <w:gridSpan w:val="2"/>
            <w:tcBorders>
              <w:top w:val="nil"/>
              <w:left w:val="single" w:sz="4" w:space="0" w:color="auto"/>
            </w:tcBorders>
          </w:tcPr>
          <w:p w14:paraId="369973FC" w14:textId="77777777" w:rsidR="009B48FB" w:rsidRPr="0017075A" w:rsidRDefault="009B48FB" w:rsidP="00C572CF">
            <w:pPr>
              <w:jc w:val="center"/>
              <w:rPr>
                <w:rFonts w:cstheme="minorHAnsi"/>
                <w:b/>
                <w:sz w:val="28"/>
                <w:szCs w:val="28"/>
              </w:rPr>
            </w:pPr>
            <w:r w:rsidRPr="0017075A">
              <w:rPr>
                <w:rFonts w:cstheme="minorHAnsi"/>
                <w:b/>
                <w:sz w:val="28"/>
                <w:szCs w:val="28"/>
              </w:rPr>
              <w:t>Food and Nutrition</w:t>
            </w:r>
          </w:p>
        </w:tc>
      </w:tr>
      <w:tr w:rsidR="009B48FB" w14:paraId="6E96B20C" w14:textId="77777777" w:rsidTr="00C572CF">
        <w:trPr>
          <w:trHeight w:val="1240"/>
        </w:trPr>
        <w:tc>
          <w:tcPr>
            <w:tcW w:w="15524" w:type="dxa"/>
            <w:gridSpan w:val="6"/>
            <w:shd w:val="clear" w:color="auto" w:fill="E2EFD9" w:themeFill="accent6" w:themeFillTint="33"/>
          </w:tcPr>
          <w:p w14:paraId="721B5F12" w14:textId="77777777" w:rsidR="009B48FB" w:rsidRPr="0017075A" w:rsidRDefault="009B48FB" w:rsidP="00C572CF">
            <w:pPr>
              <w:rPr>
                <w:rFonts w:cstheme="minorHAnsi"/>
                <w:b/>
                <w:sz w:val="28"/>
                <w:szCs w:val="28"/>
              </w:rPr>
            </w:pPr>
            <w:r w:rsidRPr="0017075A">
              <w:rPr>
                <w:rFonts w:cstheme="minorHAnsi"/>
                <w:b/>
                <w:sz w:val="28"/>
                <w:szCs w:val="28"/>
              </w:rPr>
              <w:t xml:space="preserve">Health education NZC statement p23. </w:t>
            </w:r>
          </w:p>
          <w:p w14:paraId="1F1B1F91" w14:textId="77777777" w:rsidR="009B48FB" w:rsidRPr="0017075A" w:rsidRDefault="009B48FB" w:rsidP="00C572CF">
            <w:pPr>
              <w:rPr>
                <w:rFonts w:cstheme="minorHAnsi"/>
                <w:i/>
                <w:sz w:val="24"/>
                <w:szCs w:val="24"/>
              </w:rPr>
            </w:pPr>
            <w:r w:rsidRPr="0017075A">
              <w:rPr>
                <w:rFonts w:cstheme="minorHAnsi"/>
                <w:i/>
                <w:sz w:val="24"/>
                <w:szCs w:val="24"/>
              </w:rPr>
              <w:t xml:space="preserve">In health education, students develop their understanding of the factors that influence the health of individuals, groups, and society: lifestyle, economic, social, cultural, political, and environmental factors. Students develop competencies for mental wellness, reproductive health and positive sexuality, and safety management, and they develop understandings of nutritional needs. Students build resilience through strengthening their personal identity and sense of self-worth, through managing change and loss, and through engaging in processes for responsible decision making. They learn to demonstrate empathy, and they develop skills that enhance relationships. Students use these skills and understandings to take critical action to promote personal, interpersonal, and societal well-being. </w:t>
            </w:r>
          </w:p>
        </w:tc>
      </w:tr>
      <w:tr w:rsidR="009B48FB" w14:paraId="17188CC0" w14:textId="77777777" w:rsidTr="00C572CF">
        <w:trPr>
          <w:trHeight w:val="1063"/>
        </w:trPr>
        <w:tc>
          <w:tcPr>
            <w:tcW w:w="15524" w:type="dxa"/>
            <w:gridSpan w:val="6"/>
            <w:shd w:val="clear" w:color="auto" w:fill="E2EFD9" w:themeFill="accent6" w:themeFillTint="33"/>
          </w:tcPr>
          <w:p w14:paraId="2639754A" w14:textId="77777777" w:rsidR="009B48FB" w:rsidRPr="0017075A" w:rsidRDefault="009B48FB" w:rsidP="00C572CF">
            <w:pPr>
              <w:rPr>
                <w:rFonts w:cstheme="minorHAnsi"/>
                <w:b/>
                <w:color w:val="0070C0"/>
                <w:sz w:val="24"/>
                <w:szCs w:val="24"/>
              </w:rPr>
            </w:pPr>
            <w:r w:rsidRPr="0017075A">
              <w:rPr>
                <w:rFonts w:cstheme="minorHAnsi"/>
                <w:b/>
                <w:color w:val="0070C0"/>
                <w:sz w:val="24"/>
                <w:szCs w:val="24"/>
              </w:rPr>
              <w:t xml:space="preserve">Current level 1 health education achievement standards for ref </w:t>
            </w:r>
          </w:p>
          <w:p w14:paraId="05556656" w14:textId="77777777" w:rsidR="009B48FB" w:rsidRPr="00911E96" w:rsidRDefault="009B48FB" w:rsidP="009B48FB">
            <w:pPr>
              <w:pStyle w:val="ListParagraph"/>
              <w:numPr>
                <w:ilvl w:val="0"/>
                <w:numId w:val="2"/>
              </w:numPr>
              <w:ind w:left="454" w:hanging="283"/>
              <w:rPr>
                <w:rFonts w:cstheme="minorHAnsi"/>
                <w:color w:val="0070C0"/>
              </w:rPr>
            </w:pPr>
            <w:r w:rsidRPr="00911E96">
              <w:rPr>
                <w:rFonts w:cstheme="minorHAnsi"/>
                <w:color w:val="0070C0"/>
              </w:rPr>
              <w:t xml:space="preserve">AS90971 1.1 Take action to enhance an aspect of personal well-being. </w:t>
            </w:r>
            <w:r w:rsidRPr="00911E96">
              <w:rPr>
                <w:rFonts w:cstheme="minorHAnsi"/>
                <w:i/>
                <w:color w:val="0070C0"/>
              </w:rPr>
              <w:t xml:space="preserve">(Can use any context) </w:t>
            </w:r>
          </w:p>
          <w:p w14:paraId="3843AB8A" w14:textId="77777777" w:rsidR="009B48FB" w:rsidRPr="00911E96" w:rsidRDefault="009B48FB" w:rsidP="009B48FB">
            <w:pPr>
              <w:pStyle w:val="ListParagraph"/>
              <w:numPr>
                <w:ilvl w:val="0"/>
                <w:numId w:val="2"/>
              </w:numPr>
              <w:ind w:left="454" w:hanging="283"/>
              <w:rPr>
                <w:rFonts w:cstheme="minorHAnsi"/>
                <w:color w:val="0070C0"/>
              </w:rPr>
            </w:pPr>
            <w:r w:rsidRPr="00911E96">
              <w:rPr>
                <w:rFonts w:cstheme="minorHAnsi"/>
                <w:color w:val="0070C0"/>
              </w:rPr>
              <w:t>AS90973 1.4 Demonstrate understanding of interpersonal skills used to enhance relationships. (</w:t>
            </w:r>
            <w:r w:rsidRPr="00911E96">
              <w:rPr>
                <w:rFonts w:cstheme="minorHAnsi"/>
                <w:i/>
                <w:color w:val="0070C0"/>
              </w:rPr>
              <w:t xml:space="preserve">Has its foundations in mental health but can be applied in </w:t>
            </w:r>
            <w:r>
              <w:rPr>
                <w:rFonts w:cstheme="minorHAnsi"/>
                <w:i/>
                <w:color w:val="0070C0"/>
              </w:rPr>
              <w:t xml:space="preserve">relationships and </w:t>
            </w:r>
            <w:r w:rsidRPr="00911E96">
              <w:rPr>
                <w:rFonts w:cstheme="minorHAnsi"/>
                <w:i/>
                <w:color w:val="0070C0"/>
              </w:rPr>
              <w:t>sexuality ed</w:t>
            </w:r>
            <w:r>
              <w:rPr>
                <w:rFonts w:cstheme="minorHAnsi"/>
                <w:i/>
                <w:color w:val="0070C0"/>
              </w:rPr>
              <w:t>ucation</w:t>
            </w:r>
            <w:r w:rsidRPr="00911E96">
              <w:rPr>
                <w:rFonts w:cstheme="minorHAnsi"/>
                <w:i/>
                <w:color w:val="0070C0"/>
              </w:rPr>
              <w:t xml:space="preserve"> or F&amp;N)</w:t>
            </w:r>
            <w:r>
              <w:rPr>
                <w:rFonts w:cstheme="minorHAnsi"/>
                <w:i/>
                <w:color w:val="0070C0"/>
              </w:rPr>
              <w:t xml:space="preserve"> </w:t>
            </w:r>
          </w:p>
        </w:tc>
      </w:tr>
      <w:tr w:rsidR="009B48FB" w14:paraId="188E4BC0" w14:textId="77777777" w:rsidTr="00C572CF">
        <w:trPr>
          <w:trHeight w:val="1179"/>
        </w:trPr>
        <w:tc>
          <w:tcPr>
            <w:tcW w:w="5382" w:type="dxa"/>
            <w:gridSpan w:val="2"/>
            <w:shd w:val="clear" w:color="auto" w:fill="E2EFD9" w:themeFill="accent6" w:themeFillTint="33"/>
          </w:tcPr>
          <w:p w14:paraId="23DC5D65" w14:textId="77777777" w:rsidR="009B48FB" w:rsidRPr="0017075A" w:rsidRDefault="009B48FB" w:rsidP="009B48FB">
            <w:pPr>
              <w:pStyle w:val="ListParagraph"/>
              <w:numPr>
                <w:ilvl w:val="0"/>
                <w:numId w:val="2"/>
              </w:numPr>
              <w:ind w:left="454" w:hanging="283"/>
              <w:rPr>
                <w:rFonts w:cstheme="minorHAnsi"/>
                <w:color w:val="0070C0"/>
                <w:sz w:val="24"/>
                <w:szCs w:val="24"/>
              </w:rPr>
            </w:pPr>
            <w:r w:rsidRPr="0017075A">
              <w:rPr>
                <w:rFonts w:cstheme="minorHAnsi"/>
                <w:color w:val="0070C0"/>
                <w:sz w:val="24"/>
                <w:szCs w:val="24"/>
              </w:rPr>
              <w:t>AS91097 1.3 Demonstrate understanding of ways in which well-being can change and strategies to support well-being.</w:t>
            </w:r>
          </w:p>
          <w:p w14:paraId="57F7B5A5" w14:textId="77777777" w:rsidR="009B48FB" w:rsidRPr="006267C9" w:rsidRDefault="009B48FB" w:rsidP="009B48FB">
            <w:pPr>
              <w:pStyle w:val="ListParagraph"/>
              <w:numPr>
                <w:ilvl w:val="0"/>
                <w:numId w:val="2"/>
              </w:numPr>
              <w:ind w:left="454" w:hanging="283"/>
              <w:rPr>
                <w:rFonts w:cstheme="minorHAnsi"/>
                <w:b/>
                <w:color w:val="0070C0"/>
                <w:sz w:val="24"/>
                <w:szCs w:val="24"/>
              </w:rPr>
            </w:pPr>
            <w:r w:rsidRPr="0017075A">
              <w:rPr>
                <w:rFonts w:cstheme="minorHAnsi"/>
                <w:color w:val="0070C0"/>
                <w:sz w:val="24"/>
                <w:szCs w:val="24"/>
              </w:rPr>
              <w:t>AS90975 1.6 Demonstrate understanding of issues to make health-enhancing decisions in drug-related situations.(External)</w:t>
            </w:r>
            <w:r>
              <w:rPr>
                <w:rFonts w:cstheme="minorHAnsi"/>
                <w:color w:val="0070C0"/>
                <w:sz w:val="24"/>
                <w:szCs w:val="24"/>
              </w:rPr>
              <w:t xml:space="preserve">  </w:t>
            </w:r>
          </w:p>
        </w:tc>
        <w:tc>
          <w:tcPr>
            <w:tcW w:w="4111" w:type="dxa"/>
            <w:gridSpan w:val="2"/>
            <w:shd w:val="clear" w:color="auto" w:fill="E2EFD9" w:themeFill="accent6" w:themeFillTint="33"/>
          </w:tcPr>
          <w:p w14:paraId="55005F7F" w14:textId="77777777" w:rsidR="009B48FB" w:rsidRPr="0017075A" w:rsidRDefault="009B48FB" w:rsidP="009B48FB">
            <w:pPr>
              <w:pStyle w:val="ListParagraph"/>
              <w:numPr>
                <w:ilvl w:val="0"/>
                <w:numId w:val="2"/>
              </w:numPr>
              <w:ind w:left="454" w:hanging="283"/>
              <w:rPr>
                <w:rFonts w:cstheme="minorHAnsi"/>
                <w:color w:val="0070C0"/>
                <w:sz w:val="24"/>
                <w:szCs w:val="24"/>
              </w:rPr>
            </w:pPr>
            <w:r w:rsidRPr="0017075A">
              <w:rPr>
                <w:rFonts w:cstheme="minorHAnsi"/>
                <w:color w:val="0070C0"/>
                <w:sz w:val="24"/>
                <w:szCs w:val="24"/>
              </w:rPr>
              <w:t>AS90974 1.5 Demonstrate understanding of strategies for promoting positive sexuality.</w:t>
            </w:r>
          </w:p>
          <w:p w14:paraId="0A5C5BD7" w14:textId="77777777" w:rsidR="009B48FB" w:rsidRPr="0017075A" w:rsidRDefault="009B48FB" w:rsidP="00C572CF">
            <w:pPr>
              <w:ind w:left="454" w:hanging="283"/>
              <w:rPr>
                <w:rFonts w:cstheme="minorHAnsi"/>
                <w:b/>
                <w:color w:val="0070C0"/>
                <w:sz w:val="24"/>
                <w:szCs w:val="24"/>
              </w:rPr>
            </w:pPr>
          </w:p>
        </w:tc>
        <w:tc>
          <w:tcPr>
            <w:tcW w:w="6031" w:type="dxa"/>
            <w:gridSpan w:val="2"/>
            <w:shd w:val="clear" w:color="auto" w:fill="E2EFD9" w:themeFill="accent6" w:themeFillTint="33"/>
          </w:tcPr>
          <w:p w14:paraId="143BEC46" w14:textId="77777777" w:rsidR="009B48FB" w:rsidRPr="0017075A" w:rsidRDefault="009B48FB" w:rsidP="009B48FB">
            <w:pPr>
              <w:pStyle w:val="ListParagraph"/>
              <w:numPr>
                <w:ilvl w:val="0"/>
                <w:numId w:val="2"/>
              </w:numPr>
              <w:ind w:left="454" w:hanging="283"/>
              <w:rPr>
                <w:rFonts w:cstheme="minorHAnsi"/>
                <w:color w:val="0070C0"/>
                <w:sz w:val="24"/>
                <w:szCs w:val="24"/>
              </w:rPr>
            </w:pPr>
            <w:r w:rsidRPr="0017075A">
              <w:rPr>
                <w:rFonts w:cstheme="minorHAnsi"/>
                <w:color w:val="0070C0"/>
                <w:sz w:val="24"/>
                <w:szCs w:val="24"/>
              </w:rPr>
              <w:t>AS90972 1.2 Demonstrate understanding of influences on adolescent eating patterns to make health-enhancing recommendations. (External)</w:t>
            </w:r>
          </w:p>
          <w:p w14:paraId="59E3F080" w14:textId="77777777" w:rsidR="009B48FB" w:rsidRPr="0017075A" w:rsidRDefault="009B48FB" w:rsidP="00C572CF">
            <w:pPr>
              <w:ind w:left="454" w:hanging="283"/>
              <w:rPr>
                <w:rFonts w:cstheme="minorHAnsi"/>
                <w:b/>
                <w:color w:val="0070C0"/>
                <w:sz w:val="24"/>
                <w:szCs w:val="24"/>
              </w:rPr>
            </w:pPr>
          </w:p>
        </w:tc>
      </w:tr>
      <w:tr w:rsidR="009B48FB" w14:paraId="7D9B3D98" w14:textId="77777777" w:rsidTr="00C572CF">
        <w:trPr>
          <w:trHeight w:val="3480"/>
        </w:trPr>
        <w:tc>
          <w:tcPr>
            <w:tcW w:w="9493" w:type="dxa"/>
            <w:gridSpan w:val="4"/>
            <w:vMerge w:val="restart"/>
            <w:shd w:val="clear" w:color="auto" w:fill="F2F2F2" w:themeFill="background1" w:themeFillShade="F2"/>
          </w:tcPr>
          <w:p w14:paraId="25FCB1C9" w14:textId="77777777" w:rsidR="009B48FB" w:rsidRDefault="009B48FB" w:rsidP="00C572CF">
            <w:pPr>
              <w:rPr>
                <w:rFonts w:cstheme="minorHAnsi"/>
                <w:b/>
                <w:sz w:val="28"/>
                <w:szCs w:val="28"/>
              </w:rPr>
            </w:pPr>
          </w:p>
          <w:p w14:paraId="6A3D25DD" w14:textId="77777777" w:rsidR="009B48FB" w:rsidRDefault="009B48FB" w:rsidP="00C572CF">
            <w:pPr>
              <w:rPr>
                <w:rFonts w:cstheme="minorHAnsi"/>
                <w:b/>
                <w:sz w:val="28"/>
                <w:szCs w:val="28"/>
              </w:rPr>
            </w:pPr>
            <w:r>
              <w:rPr>
                <w:rFonts w:cstheme="minorHAnsi"/>
                <w:b/>
                <w:sz w:val="28"/>
                <w:szCs w:val="28"/>
              </w:rPr>
              <w:t>The p</w:t>
            </w:r>
            <w:r w:rsidRPr="0017075A">
              <w:rPr>
                <w:rFonts w:cstheme="minorHAnsi"/>
                <w:b/>
                <w:sz w:val="28"/>
                <w:szCs w:val="28"/>
              </w:rPr>
              <w:t xml:space="preserve">roposed assessment matrix </w:t>
            </w:r>
            <w:r>
              <w:rPr>
                <w:rFonts w:cstheme="minorHAnsi"/>
                <w:b/>
                <w:sz w:val="28"/>
                <w:szCs w:val="28"/>
              </w:rPr>
              <w:t>includes 4 Achievement Standards</w:t>
            </w:r>
          </w:p>
          <w:p w14:paraId="46E271D1" w14:textId="77777777" w:rsidR="009B48FB" w:rsidRDefault="009B48FB" w:rsidP="00C572CF">
            <w:pPr>
              <w:rPr>
                <w:rFonts w:cstheme="minorHAnsi"/>
                <w:i/>
                <w:sz w:val="24"/>
                <w:szCs w:val="24"/>
              </w:rPr>
            </w:pPr>
            <w:r w:rsidRPr="004F7753">
              <w:rPr>
                <w:rFonts w:cstheme="minorHAnsi"/>
                <w:i/>
                <w:sz w:val="24"/>
                <w:szCs w:val="24"/>
              </w:rPr>
              <w:t xml:space="preserve">2 internally assessed and 2 externally assessed </w:t>
            </w:r>
          </w:p>
          <w:p w14:paraId="7835334B" w14:textId="77777777" w:rsidR="009B48FB" w:rsidRPr="0017075A" w:rsidRDefault="009B48FB" w:rsidP="00C572CF">
            <w:pPr>
              <w:rPr>
                <w:rFonts w:cstheme="minorHAnsi"/>
                <w:b/>
                <w:sz w:val="28"/>
                <w:szCs w:val="28"/>
              </w:rPr>
            </w:pPr>
          </w:p>
          <w:tbl>
            <w:tblPr>
              <w:tblStyle w:val="TableGrid"/>
              <w:tblW w:w="9556" w:type="dxa"/>
              <w:tblLayout w:type="fixed"/>
              <w:tblLook w:val="04A0" w:firstRow="1" w:lastRow="0" w:firstColumn="1" w:lastColumn="0" w:noHBand="0" w:noVBand="1"/>
            </w:tblPr>
            <w:tblGrid>
              <w:gridCol w:w="9556"/>
            </w:tblGrid>
            <w:tr w:rsidR="00364FB5" w:rsidRPr="0017075A" w14:paraId="128782AC" w14:textId="77777777" w:rsidTr="00BB736A">
              <w:trPr>
                <w:trHeight w:val="1277"/>
              </w:trPr>
              <w:tc>
                <w:tcPr>
                  <w:tcW w:w="9556" w:type="dxa"/>
                </w:tcPr>
                <w:p w14:paraId="2BFDB251" w14:textId="77777777" w:rsidR="00364FB5" w:rsidRPr="00364FB5" w:rsidRDefault="00364FB5" w:rsidP="00364FB5">
                  <w:pPr>
                    <w:rPr>
                      <w:sz w:val="28"/>
                      <w:szCs w:val="28"/>
                    </w:rPr>
                  </w:pPr>
                  <w:r w:rsidRPr="00364FB5">
                    <w:rPr>
                      <w:b/>
                      <w:sz w:val="28"/>
                      <w:szCs w:val="28"/>
                    </w:rPr>
                    <w:t>1.1</w:t>
                  </w:r>
                  <w:r w:rsidRPr="00364FB5">
                    <w:rPr>
                      <w:sz w:val="28"/>
                      <w:szCs w:val="28"/>
                    </w:rPr>
                    <w:t xml:space="preserve"> Demonstrate understanding of Te Whare Tapa Whā in context</w:t>
                  </w:r>
                </w:p>
                <w:p w14:paraId="3EAEA0D2" w14:textId="77777777" w:rsidR="00364FB5" w:rsidRPr="00364FB5" w:rsidRDefault="00364FB5" w:rsidP="00364FB5">
                  <w:pPr>
                    <w:rPr>
                      <w:b/>
                      <w:color w:val="0070C0"/>
                      <w:sz w:val="28"/>
                      <w:szCs w:val="28"/>
                    </w:rPr>
                  </w:pPr>
                  <w:r w:rsidRPr="00364FB5">
                    <w:rPr>
                      <w:color w:val="0070C0"/>
                      <w:sz w:val="28"/>
                      <w:szCs w:val="28"/>
                    </w:rPr>
                    <w:t xml:space="preserve">Emphasis on the underlying concept of </w:t>
                  </w:r>
                  <w:r w:rsidRPr="00364FB5">
                    <w:rPr>
                      <w:b/>
                      <w:color w:val="0070C0"/>
                      <w:sz w:val="28"/>
                      <w:szCs w:val="28"/>
                    </w:rPr>
                    <w:t xml:space="preserve">hauora </w:t>
                  </w:r>
                </w:p>
                <w:p w14:paraId="4C5C787F" w14:textId="77777777" w:rsidR="00364FB5" w:rsidRPr="00364FB5" w:rsidRDefault="00364FB5" w:rsidP="00364FB5">
                  <w:pPr>
                    <w:rPr>
                      <w:sz w:val="28"/>
                      <w:szCs w:val="28"/>
                    </w:rPr>
                  </w:pPr>
                  <w:r w:rsidRPr="00364FB5">
                    <w:rPr>
                      <w:sz w:val="28"/>
                      <w:szCs w:val="28"/>
                    </w:rPr>
                    <w:t>5 credits internal</w:t>
                  </w:r>
                </w:p>
              </w:tc>
            </w:tr>
            <w:tr w:rsidR="00364FB5" w:rsidRPr="0017075A" w14:paraId="7026F079" w14:textId="77777777" w:rsidTr="00BB736A">
              <w:trPr>
                <w:trHeight w:val="1277"/>
              </w:trPr>
              <w:tc>
                <w:tcPr>
                  <w:tcW w:w="9556" w:type="dxa"/>
                </w:tcPr>
                <w:p w14:paraId="73ACAE7D" w14:textId="77777777" w:rsidR="00364FB5" w:rsidRPr="00364FB5" w:rsidRDefault="00364FB5" w:rsidP="00364FB5">
                  <w:pPr>
                    <w:rPr>
                      <w:sz w:val="28"/>
                      <w:szCs w:val="28"/>
                    </w:rPr>
                  </w:pPr>
                  <w:r w:rsidRPr="00364FB5">
                    <w:rPr>
                      <w:b/>
                      <w:sz w:val="28"/>
                      <w:szCs w:val="28"/>
                    </w:rPr>
                    <w:t>1.2</w:t>
                  </w:r>
                  <w:r w:rsidRPr="00364FB5">
                    <w:rPr>
                      <w:sz w:val="28"/>
                      <w:szCs w:val="28"/>
                    </w:rPr>
                    <w:t xml:space="preserve"> Demonstrate understanding of an action to enhance hauora</w:t>
                  </w:r>
                </w:p>
                <w:p w14:paraId="42AEDF7B" w14:textId="77777777" w:rsidR="00364FB5" w:rsidRPr="00364FB5" w:rsidRDefault="00364FB5" w:rsidP="00364FB5">
                  <w:pPr>
                    <w:rPr>
                      <w:color w:val="0070C0"/>
                      <w:sz w:val="28"/>
                      <w:szCs w:val="28"/>
                    </w:rPr>
                  </w:pPr>
                  <w:r w:rsidRPr="00364FB5">
                    <w:rPr>
                      <w:color w:val="0070C0"/>
                      <w:sz w:val="28"/>
                      <w:szCs w:val="28"/>
                    </w:rPr>
                    <w:t xml:space="preserve">Emphasis on the underlying concept of </w:t>
                  </w:r>
                  <w:r w:rsidRPr="00364FB5">
                    <w:rPr>
                      <w:b/>
                      <w:color w:val="0070C0"/>
                      <w:sz w:val="28"/>
                      <w:szCs w:val="28"/>
                    </w:rPr>
                    <w:t>health promotion</w:t>
                  </w:r>
                  <w:r w:rsidRPr="00364FB5">
                    <w:rPr>
                      <w:color w:val="0070C0"/>
                      <w:sz w:val="28"/>
                      <w:szCs w:val="28"/>
                    </w:rPr>
                    <w:t xml:space="preserve"> </w:t>
                  </w:r>
                </w:p>
                <w:p w14:paraId="49C04514" w14:textId="77777777" w:rsidR="00364FB5" w:rsidRPr="00364FB5" w:rsidRDefault="00364FB5" w:rsidP="00364FB5">
                  <w:pPr>
                    <w:rPr>
                      <w:sz w:val="28"/>
                      <w:szCs w:val="28"/>
                    </w:rPr>
                  </w:pPr>
                  <w:r w:rsidRPr="00364FB5">
                    <w:rPr>
                      <w:sz w:val="28"/>
                      <w:szCs w:val="28"/>
                    </w:rPr>
                    <w:t>5 credits internal</w:t>
                  </w:r>
                </w:p>
              </w:tc>
            </w:tr>
            <w:tr w:rsidR="00364FB5" w:rsidRPr="0017075A" w14:paraId="52D83825" w14:textId="77777777" w:rsidTr="00BB736A">
              <w:trPr>
                <w:trHeight w:val="1258"/>
              </w:trPr>
              <w:tc>
                <w:tcPr>
                  <w:tcW w:w="9556" w:type="dxa"/>
                </w:tcPr>
                <w:p w14:paraId="20E4347D" w14:textId="77777777" w:rsidR="00364FB5" w:rsidRPr="00364FB5" w:rsidRDefault="00364FB5" w:rsidP="00364FB5">
                  <w:pPr>
                    <w:rPr>
                      <w:sz w:val="28"/>
                      <w:szCs w:val="28"/>
                    </w:rPr>
                  </w:pPr>
                  <w:r w:rsidRPr="00364FB5">
                    <w:rPr>
                      <w:b/>
                      <w:sz w:val="28"/>
                      <w:szCs w:val="28"/>
                    </w:rPr>
                    <w:t>1.3</w:t>
                  </w:r>
                  <w:r w:rsidRPr="00364FB5">
                    <w:rPr>
                      <w:sz w:val="28"/>
                      <w:szCs w:val="28"/>
                    </w:rPr>
                    <w:t xml:space="preserve"> Demonstrate understanding of factors that influence a wellbeing issue</w:t>
                  </w:r>
                </w:p>
                <w:p w14:paraId="6DBE73DA" w14:textId="77777777" w:rsidR="00364FB5" w:rsidRPr="00364FB5" w:rsidRDefault="00364FB5" w:rsidP="00364FB5">
                  <w:pPr>
                    <w:rPr>
                      <w:b/>
                      <w:color w:val="0070C0"/>
                      <w:sz w:val="28"/>
                      <w:szCs w:val="28"/>
                    </w:rPr>
                  </w:pPr>
                  <w:r w:rsidRPr="00364FB5">
                    <w:rPr>
                      <w:color w:val="0070C0"/>
                      <w:sz w:val="28"/>
                      <w:szCs w:val="28"/>
                    </w:rPr>
                    <w:t>Emphasis on the underlying concept of the</w:t>
                  </w:r>
                  <w:r w:rsidRPr="00364FB5">
                    <w:rPr>
                      <w:b/>
                      <w:color w:val="0070C0"/>
                      <w:sz w:val="28"/>
                      <w:szCs w:val="28"/>
                    </w:rPr>
                    <w:t xml:space="preserve"> socio-ecological perspective </w:t>
                  </w:r>
                </w:p>
                <w:p w14:paraId="3E6F673C" w14:textId="77777777" w:rsidR="00364FB5" w:rsidRPr="00364FB5" w:rsidRDefault="00364FB5" w:rsidP="00364FB5">
                  <w:pPr>
                    <w:rPr>
                      <w:sz w:val="28"/>
                      <w:szCs w:val="28"/>
                    </w:rPr>
                  </w:pPr>
                  <w:r w:rsidRPr="00364FB5">
                    <w:rPr>
                      <w:sz w:val="28"/>
                      <w:szCs w:val="28"/>
                    </w:rPr>
                    <w:t>5 credits external</w:t>
                  </w:r>
                </w:p>
              </w:tc>
            </w:tr>
            <w:tr w:rsidR="00364FB5" w:rsidRPr="0017075A" w14:paraId="139C831E" w14:textId="77777777" w:rsidTr="00BB736A">
              <w:trPr>
                <w:trHeight w:val="1277"/>
              </w:trPr>
              <w:tc>
                <w:tcPr>
                  <w:tcW w:w="9556" w:type="dxa"/>
                </w:tcPr>
                <w:p w14:paraId="4BEECAFE" w14:textId="77777777" w:rsidR="00364FB5" w:rsidRPr="00364FB5" w:rsidRDefault="00364FB5" w:rsidP="00364FB5">
                  <w:pPr>
                    <w:rPr>
                      <w:sz w:val="28"/>
                      <w:szCs w:val="28"/>
                    </w:rPr>
                  </w:pPr>
                  <w:r w:rsidRPr="00364FB5">
                    <w:rPr>
                      <w:b/>
                      <w:sz w:val="28"/>
                      <w:szCs w:val="28"/>
                    </w:rPr>
                    <w:t>1.4</w:t>
                  </w:r>
                  <w:r w:rsidRPr="00364FB5">
                    <w:rPr>
                      <w:sz w:val="28"/>
                      <w:szCs w:val="28"/>
                    </w:rPr>
                    <w:t xml:space="preserve"> Demonstrate understanding of strategies that enhance hauora</w:t>
                  </w:r>
                </w:p>
                <w:p w14:paraId="22EE4D2A" w14:textId="77777777" w:rsidR="00364FB5" w:rsidRPr="00364FB5" w:rsidRDefault="00364FB5" w:rsidP="00364FB5">
                  <w:pPr>
                    <w:rPr>
                      <w:color w:val="0070C0"/>
                      <w:sz w:val="28"/>
                      <w:szCs w:val="28"/>
                    </w:rPr>
                  </w:pPr>
                  <w:r w:rsidRPr="00364FB5">
                    <w:rPr>
                      <w:color w:val="0070C0"/>
                      <w:sz w:val="28"/>
                      <w:szCs w:val="28"/>
                    </w:rPr>
                    <w:t xml:space="preserve">Emphasis on the underlying concept of </w:t>
                  </w:r>
                  <w:r w:rsidRPr="00364FB5">
                    <w:rPr>
                      <w:b/>
                      <w:color w:val="0070C0"/>
                      <w:sz w:val="28"/>
                      <w:szCs w:val="28"/>
                    </w:rPr>
                    <w:t>attitudes and values</w:t>
                  </w:r>
                  <w:r w:rsidRPr="00364FB5">
                    <w:rPr>
                      <w:color w:val="0070C0"/>
                      <w:sz w:val="28"/>
                      <w:szCs w:val="28"/>
                    </w:rPr>
                    <w:t xml:space="preserve"> </w:t>
                  </w:r>
                  <w:r w:rsidRPr="00364FB5">
                    <w:rPr>
                      <w:i/>
                      <w:color w:val="0070C0"/>
                      <w:sz w:val="28"/>
                      <w:szCs w:val="28"/>
                    </w:rPr>
                    <w:t>(in context of strategies for taking action to promote wellbeing)</w:t>
                  </w:r>
                  <w:r w:rsidRPr="00364FB5">
                    <w:rPr>
                      <w:color w:val="0070C0"/>
                      <w:sz w:val="28"/>
                      <w:szCs w:val="28"/>
                    </w:rPr>
                    <w:t xml:space="preserve"> </w:t>
                  </w:r>
                </w:p>
                <w:p w14:paraId="2B130466" w14:textId="77777777" w:rsidR="00364FB5" w:rsidRPr="00364FB5" w:rsidRDefault="00364FB5" w:rsidP="00364FB5">
                  <w:pPr>
                    <w:rPr>
                      <w:sz w:val="28"/>
                      <w:szCs w:val="28"/>
                    </w:rPr>
                  </w:pPr>
                  <w:r w:rsidRPr="00364FB5">
                    <w:rPr>
                      <w:sz w:val="28"/>
                      <w:szCs w:val="28"/>
                    </w:rPr>
                    <w:t>5 credits external</w:t>
                  </w:r>
                </w:p>
              </w:tc>
            </w:tr>
          </w:tbl>
          <w:p w14:paraId="765EC301" w14:textId="77777777" w:rsidR="009B48FB" w:rsidRPr="0017075A" w:rsidRDefault="009B48FB" w:rsidP="00C572CF">
            <w:pPr>
              <w:rPr>
                <w:rFonts w:cstheme="minorHAnsi"/>
                <w:b/>
                <w:sz w:val="28"/>
                <w:szCs w:val="28"/>
              </w:rPr>
            </w:pPr>
          </w:p>
        </w:tc>
        <w:tc>
          <w:tcPr>
            <w:tcW w:w="6031" w:type="dxa"/>
            <w:gridSpan w:val="2"/>
            <w:shd w:val="clear" w:color="auto" w:fill="FBE4D5" w:themeFill="accent2" w:themeFillTint="33"/>
          </w:tcPr>
          <w:p w14:paraId="2C6BE48B" w14:textId="77777777" w:rsidR="009B48FB" w:rsidRPr="0017075A" w:rsidRDefault="009B48FB" w:rsidP="00C572CF">
            <w:pPr>
              <w:rPr>
                <w:rFonts w:cstheme="minorHAnsi"/>
                <w:b/>
                <w:sz w:val="28"/>
                <w:szCs w:val="28"/>
              </w:rPr>
            </w:pPr>
            <w:r w:rsidRPr="0017075A">
              <w:rPr>
                <w:rFonts w:cstheme="minorHAnsi"/>
                <w:b/>
                <w:sz w:val="28"/>
                <w:szCs w:val="28"/>
              </w:rPr>
              <w:t>Home economics statement NZC statement p23.</w:t>
            </w:r>
          </w:p>
          <w:p w14:paraId="422B609E" w14:textId="77777777" w:rsidR="009B48FB" w:rsidRDefault="009B48FB" w:rsidP="00C572CF">
            <w:pPr>
              <w:rPr>
                <w:rFonts w:cstheme="minorHAnsi"/>
                <w:i/>
                <w:sz w:val="24"/>
                <w:szCs w:val="24"/>
              </w:rPr>
            </w:pPr>
            <w:r w:rsidRPr="0017075A">
              <w:rPr>
                <w:rFonts w:cstheme="minorHAnsi"/>
                <w:i/>
                <w:sz w:val="24"/>
                <w:szCs w:val="24"/>
              </w:rPr>
              <w:t>In home economics, students develop an understanding of the factors that influence the well-being of individuals and families within the home and community and of the actions people take to enhance and sustain those environments. In the context of food and nutrition, students evaluate current issues and theories of nutrition, identify and reflect on factors that influence people’s choices and behaviours, and use this knowledge to make informed decisions. Through the processes of selecting, preparing, cooking, and serving food, students develop their creativity and experience a sense of accomplishment. At the same time, they develop personal and interpersonal understandings and skills that contribute to well-being.</w:t>
            </w:r>
          </w:p>
          <w:p w14:paraId="1526691D" w14:textId="77777777" w:rsidR="009B48FB" w:rsidRPr="0017075A" w:rsidRDefault="009B48FB" w:rsidP="00C572CF">
            <w:pPr>
              <w:rPr>
                <w:rFonts w:cstheme="minorHAnsi"/>
                <w:i/>
                <w:sz w:val="24"/>
                <w:szCs w:val="24"/>
              </w:rPr>
            </w:pPr>
          </w:p>
        </w:tc>
      </w:tr>
      <w:tr w:rsidR="009B48FB" w14:paraId="5A0472B1" w14:textId="77777777" w:rsidTr="00C572CF">
        <w:trPr>
          <w:trHeight w:val="4109"/>
        </w:trPr>
        <w:tc>
          <w:tcPr>
            <w:tcW w:w="9493" w:type="dxa"/>
            <w:gridSpan w:val="4"/>
            <w:vMerge/>
            <w:shd w:val="clear" w:color="auto" w:fill="F2F2F2" w:themeFill="background1" w:themeFillShade="F2"/>
          </w:tcPr>
          <w:p w14:paraId="4796FC09" w14:textId="77777777" w:rsidR="009B48FB" w:rsidRPr="0017075A" w:rsidRDefault="009B48FB" w:rsidP="00C572CF">
            <w:pPr>
              <w:rPr>
                <w:rFonts w:cstheme="minorHAnsi"/>
                <w:b/>
                <w:sz w:val="28"/>
                <w:szCs w:val="28"/>
              </w:rPr>
            </w:pPr>
          </w:p>
        </w:tc>
        <w:tc>
          <w:tcPr>
            <w:tcW w:w="6031" w:type="dxa"/>
            <w:gridSpan w:val="2"/>
            <w:shd w:val="clear" w:color="auto" w:fill="FBE4D5" w:themeFill="accent2" w:themeFillTint="33"/>
          </w:tcPr>
          <w:p w14:paraId="064FBD04" w14:textId="77777777" w:rsidR="009B48FB" w:rsidRPr="0017075A" w:rsidRDefault="009B48FB" w:rsidP="00C572CF">
            <w:pPr>
              <w:rPr>
                <w:rFonts w:cstheme="minorHAnsi"/>
                <w:b/>
                <w:color w:val="0070C0"/>
                <w:sz w:val="24"/>
                <w:szCs w:val="24"/>
              </w:rPr>
            </w:pPr>
            <w:r w:rsidRPr="0017075A">
              <w:rPr>
                <w:rFonts w:cstheme="minorHAnsi"/>
                <w:b/>
                <w:color w:val="0070C0"/>
                <w:sz w:val="24"/>
                <w:szCs w:val="24"/>
              </w:rPr>
              <w:t>Current level 1 home economics achievement standards for ref</w:t>
            </w:r>
          </w:p>
          <w:p w14:paraId="3C12EA77" w14:textId="77777777" w:rsidR="009B48FB" w:rsidRPr="0017075A" w:rsidRDefault="009B48FB" w:rsidP="009B48FB">
            <w:pPr>
              <w:pStyle w:val="ListParagraph"/>
              <w:numPr>
                <w:ilvl w:val="0"/>
                <w:numId w:val="1"/>
              </w:numPr>
              <w:ind w:left="363" w:hanging="363"/>
              <w:rPr>
                <w:rFonts w:cstheme="minorHAnsi"/>
                <w:color w:val="0070C0"/>
                <w:sz w:val="24"/>
                <w:szCs w:val="24"/>
              </w:rPr>
            </w:pPr>
            <w:r w:rsidRPr="0017075A">
              <w:rPr>
                <w:rFonts w:cstheme="minorHAnsi"/>
                <w:color w:val="0070C0"/>
                <w:sz w:val="24"/>
                <w:szCs w:val="24"/>
              </w:rPr>
              <w:t>AS90956 1.1 Demonstrate knowledge of an</w:t>
            </w:r>
            <w:r>
              <w:rPr>
                <w:rFonts w:cstheme="minorHAnsi"/>
                <w:color w:val="0070C0"/>
                <w:sz w:val="24"/>
                <w:szCs w:val="24"/>
              </w:rPr>
              <w:t xml:space="preserve"> individual’s nutritional needs</w:t>
            </w:r>
            <w:r w:rsidRPr="0017075A">
              <w:rPr>
                <w:rFonts w:cstheme="minorHAnsi"/>
                <w:color w:val="0070C0"/>
                <w:sz w:val="24"/>
                <w:szCs w:val="24"/>
              </w:rPr>
              <w:t>*</w:t>
            </w:r>
          </w:p>
          <w:p w14:paraId="3CB9B0EC" w14:textId="77777777" w:rsidR="009B48FB" w:rsidRPr="0017075A" w:rsidRDefault="009B48FB" w:rsidP="009B48FB">
            <w:pPr>
              <w:pStyle w:val="ListParagraph"/>
              <w:numPr>
                <w:ilvl w:val="0"/>
                <w:numId w:val="1"/>
              </w:numPr>
              <w:ind w:left="363" w:hanging="363"/>
              <w:rPr>
                <w:rFonts w:cstheme="minorHAnsi"/>
                <w:color w:val="0070C0"/>
                <w:sz w:val="24"/>
                <w:szCs w:val="24"/>
              </w:rPr>
            </w:pPr>
            <w:r w:rsidRPr="0017075A">
              <w:rPr>
                <w:rFonts w:cstheme="minorHAnsi"/>
                <w:color w:val="0070C0"/>
                <w:sz w:val="24"/>
                <w:szCs w:val="24"/>
              </w:rPr>
              <w:t xml:space="preserve">AS90957 1.2 Demonstrate understanding of societal influences on an individual’s food choices and well-being. </w:t>
            </w:r>
          </w:p>
          <w:p w14:paraId="3AC51178" w14:textId="77777777" w:rsidR="009B48FB" w:rsidRPr="0017075A" w:rsidRDefault="009B48FB" w:rsidP="009B48FB">
            <w:pPr>
              <w:pStyle w:val="ListParagraph"/>
              <w:numPr>
                <w:ilvl w:val="0"/>
                <w:numId w:val="1"/>
              </w:numPr>
              <w:ind w:left="363" w:hanging="363"/>
              <w:rPr>
                <w:rFonts w:cstheme="minorHAnsi"/>
                <w:color w:val="0070C0"/>
                <w:sz w:val="24"/>
                <w:szCs w:val="24"/>
              </w:rPr>
            </w:pPr>
            <w:r w:rsidRPr="0017075A">
              <w:rPr>
                <w:rFonts w:cstheme="minorHAnsi"/>
                <w:color w:val="0070C0"/>
                <w:sz w:val="24"/>
                <w:szCs w:val="24"/>
              </w:rPr>
              <w:t xml:space="preserve">AS90958 1.3 Demonstrate understanding of how cultural practices influence eating patterns in New Zealand. </w:t>
            </w:r>
          </w:p>
          <w:p w14:paraId="353C0A3A" w14:textId="77777777" w:rsidR="009B48FB" w:rsidRPr="0017075A" w:rsidRDefault="009B48FB" w:rsidP="009B48FB">
            <w:pPr>
              <w:pStyle w:val="ListParagraph"/>
              <w:numPr>
                <w:ilvl w:val="0"/>
                <w:numId w:val="1"/>
              </w:numPr>
              <w:ind w:left="363" w:hanging="363"/>
              <w:rPr>
                <w:rFonts w:cstheme="minorHAnsi"/>
                <w:color w:val="0070C0"/>
                <w:sz w:val="24"/>
                <w:szCs w:val="24"/>
              </w:rPr>
            </w:pPr>
            <w:r w:rsidRPr="0017075A">
              <w:rPr>
                <w:rFonts w:cstheme="minorHAnsi"/>
                <w:color w:val="0070C0"/>
                <w:sz w:val="24"/>
                <w:szCs w:val="24"/>
              </w:rPr>
              <w:t xml:space="preserve">AS90959 1.4 Demonstrate knowledge of practices and strategies to address food handling issues.* </w:t>
            </w:r>
          </w:p>
          <w:p w14:paraId="5B61208B" w14:textId="77777777" w:rsidR="009B48FB" w:rsidRPr="0017075A" w:rsidRDefault="009B48FB" w:rsidP="009B48FB">
            <w:pPr>
              <w:pStyle w:val="ListParagraph"/>
              <w:numPr>
                <w:ilvl w:val="0"/>
                <w:numId w:val="1"/>
              </w:numPr>
              <w:ind w:left="363" w:hanging="363"/>
              <w:rPr>
                <w:rFonts w:cstheme="minorHAnsi"/>
                <w:color w:val="0070C0"/>
                <w:sz w:val="24"/>
                <w:szCs w:val="24"/>
              </w:rPr>
            </w:pPr>
            <w:r w:rsidRPr="0017075A">
              <w:rPr>
                <w:rFonts w:cstheme="minorHAnsi"/>
                <w:color w:val="0070C0"/>
                <w:sz w:val="24"/>
                <w:szCs w:val="24"/>
              </w:rPr>
              <w:t>AS90960 1.5 Demonstrate understanding of how an individual, the family and society enhance each other’s wellbeing. (External)</w:t>
            </w:r>
          </w:p>
          <w:p w14:paraId="382A6DA8" w14:textId="77777777" w:rsidR="009B48FB" w:rsidRPr="0017075A" w:rsidRDefault="009B48FB" w:rsidP="009B48FB">
            <w:pPr>
              <w:pStyle w:val="ListParagraph"/>
              <w:numPr>
                <w:ilvl w:val="0"/>
                <w:numId w:val="1"/>
              </w:numPr>
              <w:ind w:left="363" w:hanging="363"/>
              <w:rPr>
                <w:rFonts w:cstheme="minorHAnsi"/>
                <w:color w:val="0070C0"/>
                <w:sz w:val="24"/>
                <w:szCs w:val="24"/>
              </w:rPr>
            </w:pPr>
            <w:r w:rsidRPr="0017075A">
              <w:rPr>
                <w:rFonts w:cstheme="minorHAnsi"/>
                <w:color w:val="0070C0"/>
                <w:sz w:val="24"/>
                <w:szCs w:val="24"/>
              </w:rPr>
              <w:t>AS90961 1.6 Demonstrate understanding of how packaging information influences an individual’s food choices and well-being. (External)</w:t>
            </w:r>
            <w:r w:rsidRPr="0017075A">
              <w:rPr>
                <w:rFonts w:cstheme="minorHAnsi"/>
                <w:color w:val="0070C0"/>
                <w:sz w:val="24"/>
                <w:szCs w:val="24"/>
              </w:rPr>
              <w:br w:type="page"/>
            </w:r>
          </w:p>
          <w:p w14:paraId="4EBD94DB" w14:textId="77777777" w:rsidR="009B48FB" w:rsidRPr="0017075A" w:rsidRDefault="009B48FB" w:rsidP="00C572CF">
            <w:pPr>
              <w:rPr>
                <w:rFonts w:cstheme="minorHAnsi"/>
                <w:i/>
                <w:color w:val="0070C0"/>
                <w:sz w:val="28"/>
                <w:szCs w:val="28"/>
              </w:rPr>
            </w:pPr>
            <w:r w:rsidRPr="0017075A">
              <w:rPr>
                <w:rFonts w:cstheme="minorHAnsi"/>
                <w:i/>
                <w:color w:val="0070C0"/>
                <w:sz w:val="24"/>
                <w:szCs w:val="24"/>
              </w:rPr>
              <w:t>*Require an element of food preparation</w:t>
            </w:r>
            <w:r w:rsidRPr="0017075A">
              <w:rPr>
                <w:rFonts w:cstheme="minorHAnsi"/>
                <w:i/>
                <w:color w:val="0070C0"/>
                <w:sz w:val="28"/>
                <w:szCs w:val="28"/>
              </w:rPr>
              <w:t xml:space="preserve"> </w:t>
            </w:r>
          </w:p>
        </w:tc>
      </w:tr>
    </w:tbl>
    <w:p w14:paraId="77B0E808" w14:textId="77777777" w:rsidR="009B48FB" w:rsidRDefault="009B48FB"/>
    <w:sectPr w:rsidR="009B48FB" w:rsidSect="009B48FB">
      <w:pgSz w:w="16840" w:h="23814" w:code="8"/>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FC572" w16cex:dateUtc="2021-07-31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6DC3B" w16cid:durableId="24AFC57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679"/>
    <w:multiLevelType w:val="hybridMultilevel"/>
    <w:tmpl w:val="3CCA7C1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DA7D8E"/>
    <w:multiLevelType w:val="hybridMultilevel"/>
    <w:tmpl w:val="5BFC25FE"/>
    <w:lvl w:ilvl="0" w:tplc="9CDC0EF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5C19C2"/>
    <w:multiLevelType w:val="hybridMultilevel"/>
    <w:tmpl w:val="179AF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124F59"/>
    <w:multiLevelType w:val="hybridMultilevel"/>
    <w:tmpl w:val="0D4C8C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AA2764"/>
    <w:multiLevelType w:val="hybridMultilevel"/>
    <w:tmpl w:val="BDF85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460B34"/>
    <w:multiLevelType w:val="hybridMultilevel"/>
    <w:tmpl w:val="EC340D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87301C"/>
    <w:multiLevelType w:val="hybridMultilevel"/>
    <w:tmpl w:val="C2A6CE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2F52542"/>
    <w:multiLevelType w:val="multilevel"/>
    <w:tmpl w:val="241A45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900C25"/>
    <w:multiLevelType w:val="hybridMultilevel"/>
    <w:tmpl w:val="143A6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5E2508C"/>
    <w:multiLevelType w:val="hybridMultilevel"/>
    <w:tmpl w:val="A99C6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B2049D"/>
    <w:multiLevelType w:val="hybridMultilevel"/>
    <w:tmpl w:val="42DA1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963391"/>
    <w:multiLevelType w:val="hybridMultilevel"/>
    <w:tmpl w:val="E06ACE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4EB1295"/>
    <w:multiLevelType w:val="hybridMultilevel"/>
    <w:tmpl w:val="27426AF8"/>
    <w:lvl w:ilvl="0" w:tplc="9CDC0EFE">
      <w:numFmt w:val="bullet"/>
      <w:lvlText w:val="•"/>
      <w:lvlJc w:val="left"/>
      <w:pPr>
        <w:ind w:left="1080" w:hanging="72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9C8256A"/>
    <w:multiLevelType w:val="hybridMultilevel"/>
    <w:tmpl w:val="AF2E1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E762487"/>
    <w:multiLevelType w:val="hybridMultilevel"/>
    <w:tmpl w:val="F9D85AF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645F08"/>
    <w:multiLevelType w:val="hybridMultilevel"/>
    <w:tmpl w:val="10D62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FE68F4"/>
    <w:multiLevelType w:val="hybridMultilevel"/>
    <w:tmpl w:val="28E8A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A1E5E04"/>
    <w:multiLevelType w:val="hybridMultilevel"/>
    <w:tmpl w:val="FA8C6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0B47C7E"/>
    <w:multiLevelType w:val="hybridMultilevel"/>
    <w:tmpl w:val="4F027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2991EA5"/>
    <w:multiLevelType w:val="hybridMultilevel"/>
    <w:tmpl w:val="9482C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3"/>
  </w:num>
  <w:num w:numId="5">
    <w:abstractNumId w:val="13"/>
  </w:num>
  <w:num w:numId="6">
    <w:abstractNumId w:val="0"/>
  </w:num>
  <w:num w:numId="7">
    <w:abstractNumId w:val="19"/>
  </w:num>
  <w:num w:numId="8">
    <w:abstractNumId w:val="10"/>
  </w:num>
  <w:num w:numId="9">
    <w:abstractNumId w:val="17"/>
  </w:num>
  <w:num w:numId="10">
    <w:abstractNumId w:val="5"/>
  </w:num>
  <w:num w:numId="11">
    <w:abstractNumId w:val="18"/>
  </w:num>
  <w:num w:numId="12">
    <w:abstractNumId w:val="9"/>
  </w:num>
  <w:num w:numId="13">
    <w:abstractNumId w:val="6"/>
  </w:num>
  <w:num w:numId="14">
    <w:abstractNumId w:val="14"/>
  </w:num>
  <w:num w:numId="15">
    <w:abstractNumId w:val="4"/>
  </w:num>
  <w:num w:numId="16">
    <w:abstractNumId w:val="15"/>
  </w:num>
  <w:num w:numId="17">
    <w:abstractNumId w:val="11"/>
  </w:num>
  <w:num w:numId="18">
    <w:abstractNumId w:val="7"/>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FB"/>
    <w:rsid w:val="000F3AA0"/>
    <w:rsid w:val="00105833"/>
    <w:rsid w:val="001F3BB5"/>
    <w:rsid w:val="00213F86"/>
    <w:rsid w:val="00364FB5"/>
    <w:rsid w:val="0041353E"/>
    <w:rsid w:val="00474F70"/>
    <w:rsid w:val="004A72C8"/>
    <w:rsid w:val="005300D0"/>
    <w:rsid w:val="00661228"/>
    <w:rsid w:val="00825DD4"/>
    <w:rsid w:val="00826FA2"/>
    <w:rsid w:val="00855FCD"/>
    <w:rsid w:val="009B48FB"/>
    <w:rsid w:val="00A3645F"/>
    <w:rsid w:val="00B24B31"/>
    <w:rsid w:val="00BF7DD7"/>
    <w:rsid w:val="00C41B83"/>
    <w:rsid w:val="00C572CF"/>
    <w:rsid w:val="00D2530B"/>
    <w:rsid w:val="00D515A7"/>
    <w:rsid w:val="00EC2579"/>
    <w:rsid w:val="00FE749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0255"/>
  <w15:chartTrackingRefBased/>
  <w15:docId w15:val="{A17B99E6-2EE2-4735-A7A0-D040C31B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2C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4A72C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48FB"/>
    <w:rPr>
      <w:color w:val="0563C1" w:themeColor="hyperlink"/>
      <w:u w:val="single"/>
    </w:rPr>
  </w:style>
  <w:style w:type="paragraph" w:styleId="ListParagraph">
    <w:name w:val="List Paragraph"/>
    <w:basedOn w:val="Normal"/>
    <w:uiPriority w:val="34"/>
    <w:qFormat/>
    <w:rsid w:val="009B48FB"/>
    <w:pPr>
      <w:ind w:left="720"/>
      <w:contextualSpacing/>
    </w:pPr>
  </w:style>
  <w:style w:type="character" w:customStyle="1" w:styleId="Heading1Char">
    <w:name w:val="Heading 1 Char"/>
    <w:basedOn w:val="DefaultParagraphFont"/>
    <w:link w:val="Heading1"/>
    <w:uiPriority w:val="9"/>
    <w:rsid w:val="004A72C8"/>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4A72C8"/>
    <w:rPr>
      <w:rFonts w:asciiTheme="majorHAnsi" w:eastAsiaTheme="majorEastAsia" w:hAnsiTheme="majorHAnsi" w:cstheme="majorBidi"/>
      <w:color w:val="2E74B5" w:themeColor="accent1" w:themeShade="BF"/>
      <w:sz w:val="26"/>
      <w:szCs w:val="26"/>
      <w:lang w:eastAsia="en-GB"/>
    </w:rPr>
  </w:style>
  <w:style w:type="paragraph" w:styleId="BodyText">
    <w:name w:val="Body Text"/>
    <w:basedOn w:val="Normal"/>
    <w:link w:val="BodyTextChar"/>
    <w:uiPriority w:val="1"/>
    <w:rsid w:val="004A72C8"/>
    <w:pPr>
      <w:spacing w:after="0" w:line="300" w:lineRule="auto"/>
    </w:pPr>
    <w:rPr>
      <w:rFonts w:ascii="Times New Roman" w:eastAsiaTheme="minorEastAsia" w:hAnsi="Times New Roman" w:cs="Times New Roman"/>
      <w:sz w:val="19"/>
      <w:szCs w:val="19"/>
      <w:lang w:val="en-US" w:eastAsia="en-GB"/>
    </w:rPr>
  </w:style>
  <w:style w:type="character" w:customStyle="1" w:styleId="BodyTextChar">
    <w:name w:val="Body Text Char"/>
    <w:basedOn w:val="DefaultParagraphFont"/>
    <w:link w:val="BodyText"/>
    <w:uiPriority w:val="1"/>
    <w:rsid w:val="004A72C8"/>
    <w:rPr>
      <w:rFonts w:ascii="Times New Roman" w:eastAsiaTheme="minorEastAsia" w:hAnsi="Times New Roman" w:cs="Times New Roman"/>
      <w:sz w:val="19"/>
      <w:szCs w:val="19"/>
      <w:lang w:val="en-US" w:eastAsia="en-GB"/>
    </w:rPr>
  </w:style>
  <w:style w:type="paragraph" w:styleId="NormalWeb">
    <w:name w:val="Normal (Web)"/>
    <w:basedOn w:val="Normal"/>
    <w:uiPriority w:val="99"/>
    <w:unhideWhenUsed/>
    <w:rsid w:val="004A72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4F70"/>
    <w:rPr>
      <w:sz w:val="16"/>
      <w:szCs w:val="16"/>
    </w:rPr>
  </w:style>
  <w:style w:type="paragraph" w:styleId="CommentText">
    <w:name w:val="annotation text"/>
    <w:basedOn w:val="Normal"/>
    <w:link w:val="CommentTextChar"/>
    <w:uiPriority w:val="99"/>
    <w:semiHidden/>
    <w:unhideWhenUsed/>
    <w:rsid w:val="00474F70"/>
    <w:pPr>
      <w:spacing w:line="240" w:lineRule="auto"/>
    </w:pPr>
    <w:rPr>
      <w:sz w:val="20"/>
      <w:szCs w:val="20"/>
    </w:rPr>
  </w:style>
  <w:style w:type="character" w:customStyle="1" w:styleId="CommentTextChar">
    <w:name w:val="Comment Text Char"/>
    <w:basedOn w:val="DefaultParagraphFont"/>
    <w:link w:val="CommentText"/>
    <w:uiPriority w:val="99"/>
    <w:semiHidden/>
    <w:rsid w:val="00474F70"/>
    <w:rPr>
      <w:sz w:val="20"/>
      <w:szCs w:val="20"/>
    </w:rPr>
  </w:style>
  <w:style w:type="paragraph" w:styleId="CommentSubject">
    <w:name w:val="annotation subject"/>
    <w:basedOn w:val="CommentText"/>
    <w:next w:val="CommentText"/>
    <w:link w:val="CommentSubjectChar"/>
    <w:uiPriority w:val="99"/>
    <w:semiHidden/>
    <w:unhideWhenUsed/>
    <w:rsid w:val="00474F70"/>
    <w:rPr>
      <w:b/>
      <w:bCs/>
    </w:rPr>
  </w:style>
  <w:style w:type="character" w:customStyle="1" w:styleId="CommentSubjectChar">
    <w:name w:val="Comment Subject Char"/>
    <w:basedOn w:val="CommentTextChar"/>
    <w:link w:val="CommentSubject"/>
    <w:uiPriority w:val="99"/>
    <w:semiHidden/>
    <w:rsid w:val="00474F70"/>
    <w:rPr>
      <w:b/>
      <w:bCs/>
      <w:sz w:val="20"/>
      <w:szCs w:val="20"/>
    </w:rPr>
  </w:style>
  <w:style w:type="paragraph" w:styleId="BalloonText">
    <w:name w:val="Balloon Text"/>
    <w:basedOn w:val="Normal"/>
    <w:link w:val="BalloonTextChar"/>
    <w:uiPriority w:val="99"/>
    <w:semiHidden/>
    <w:unhideWhenUsed/>
    <w:rsid w:val="000F3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0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curriculumtool.education.govt.nz/en/Home/PathwaysGuidance/99200"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https://ncea.education.govt.nz/" TargetMode="External"/><Relationship Id="rId11" Type="http://schemas.openxmlformats.org/officeDocument/2006/relationships/hyperlink" Target="https://www.tuturu.org.nz/healthconsultation/" TargetMode="External"/><Relationship Id="rId5" Type="http://schemas.openxmlformats.org/officeDocument/2006/relationships/image" Target="media/image1.png"/><Relationship Id="rId15" Type="http://schemas.microsoft.com/office/2018/08/relationships/commentsExtensible" Target="commentsExtensible.xml"/><Relationship Id="rId10" Type="http://schemas.openxmlformats.org/officeDocument/2006/relationships/hyperlink" Target="https://ncea.education.govt.nz/change-2-equal-status-matauranga-maori-ncea" TargetMode="External"/><Relationship Id="rId4" Type="http://schemas.openxmlformats.org/officeDocument/2006/relationships/webSettings" Target="webSettings.xml"/><Relationship Id="rId9" Type="http://schemas.openxmlformats.org/officeDocument/2006/relationships/hyperlink" Target="https://consultation.education.govt.nz/ncea/ncea-level-2-3-subject-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3</cp:revision>
  <dcterms:created xsi:type="dcterms:W3CDTF">2021-07-31T01:43:00Z</dcterms:created>
  <dcterms:modified xsi:type="dcterms:W3CDTF">2021-07-31T01:59:00Z</dcterms:modified>
</cp:coreProperties>
</file>